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050A24">
      <w:pPr>
        <w:jc w:val="center"/>
        <w:rPr>
          <w:rFonts w:hint="eastAsia" w:ascii="仿宋" w:hAnsi="仿宋" w:eastAsia="仿宋" w:cs="仿宋"/>
          <w:b/>
          <w:bCs/>
          <w:sz w:val="44"/>
          <w:szCs w:val="44"/>
          <w:lang w:val="en-US" w:eastAsia="zh-CN"/>
        </w:rPr>
      </w:pPr>
      <w:bookmarkStart w:id="0" w:name="_GoBack"/>
      <w:bookmarkEnd w:id="0"/>
      <w:r>
        <w:rPr>
          <w:rFonts w:hint="eastAsia" w:ascii="仿宋" w:hAnsi="仿宋" w:eastAsia="仿宋" w:cs="仿宋"/>
          <w:b/>
          <w:bCs/>
          <w:sz w:val="44"/>
          <w:szCs w:val="44"/>
          <w:lang w:val="en-US" w:eastAsia="zh-CN"/>
        </w:rPr>
        <w:t>《减肥警报鞋》</w:t>
      </w:r>
    </w:p>
    <w:p w14:paraId="01F40FC2">
      <w:pPr>
        <w:jc w:val="center"/>
        <w:rPr>
          <w:rFonts w:hint="eastAsia" w:ascii="仿宋" w:hAnsi="仿宋" w:eastAsia="仿宋" w:cs="仿宋"/>
          <w:b w:val="0"/>
          <w:bCs w:val="0"/>
          <w:sz w:val="24"/>
          <w:szCs w:val="24"/>
          <w:lang w:val="en-US" w:eastAsia="zh-CN"/>
        </w:rPr>
      </w:pPr>
    </w:p>
    <w:p w14:paraId="1674CF37">
      <w:pPr>
        <w:jc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宁德市第五中学  何海川</w:t>
      </w:r>
    </w:p>
    <w:p w14:paraId="2A96AD29">
      <w:pPr>
        <w:jc w:val="center"/>
        <w:rPr>
          <w:rFonts w:hint="eastAsia" w:ascii="仿宋" w:hAnsi="仿宋" w:eastAsia="仿宋" w:cs="仿宋"/>
          <w:b w:val="0"/>
          <w:bCs w:val="0"/>
          <w:sz w:val="24"/>
          <w:szCs w:val="24"/>
          <w:lang w:val="en-US" w:eastAsia="zh-CN"/>
        </w:rPr>
      </w:pPr>
    </w:p>
    <w:p w14:paraId="6744FE8F">
      <w:pPr>
        <w:numPr>
          <w:ilvl w:val="0"/>
          <w:numId w:val="0"/>
        </w:numPr>
        <w:spacing w:before="0" w:beforeAutospacing="0" w:after="0" w:afterAutospacing="0"/>
        <w:ind w:right="105" w:rightChars="50"/>
        <w:rPr>
          <w:rFonts w:hint="eastAsia" w:ascii="仿宋" w:hAnsi="仿宋" w:eastAsia="仿宋" w:cs="仿宋"/>
          <w:b/>
          <w:bCs/>
          <w:color w:val="auto"/>
          <w:sz w:val="22"/>
          <w:szCs w:val="22"/>
          <w:lang w:eastAsia="zh-CN"/>
        </w:rPr>
      </w:pPr>
      <w:r>
        <w:rPr>
          <w:rFonts w:hint="eastAsia" w:ascii="仿宋" w:hAnsi="仿宋" w:eastAsia="仿宋" w:cs="仿宋"/>
          <w:b/>
          <w:bCs/>
          <w:sz w:val="22"/>
          <w:szCs w:val="22"/>
          <w:lang w:val="en-US" w:eastAsia="zh-CN"/>
        </w:rPr>
        <w:t>摘要：</w:t>
      </w:r>
      <w:r>
        <w:rPr>
          <w:rFonts w:hint="eastAsia" w:ascii="仿宋" w:hAnsi="仿宋" w:eastAsia="仿宋" w:cs="仿宋"/>
          <w:sz w:val="22"/>
          <w:szCs w:val="22"/>
          <w:lang w:val="en-US" w:eastAsia="zh-CN"/>
        </w:rPr>
        <w:t>体重秤体积大，只适合放在办公室或家里，</w:t>
      </w:r>
      <w:r>
        <w:rPr>
          <w:rFonts w:hint="eastAsia" w:ascii="仿宋" w:hAnsi="仿宋" w:eastAsia="仿宋" w:cs="仿宋"/>
          <w:sz w:val="22"/>
          <w:szCs w:val="22"/>
        </w:rPr>
        <w:t>一款</w:t>
      </w:r>
      <w:r>
        <w:rPr>
          <w:rFonts w:hint="eastAsia" w:ascii="仿宋" w:hAnsi="仿宋" w:eastAsia="仿宋" w:cs="仿宋"/>
          <w:sz w:val="22"/>
          <w:szCs w:val="22"/>
          <w:lang w:val="en-US" w:eastAsia="zh-CN"/>
        </w:rPr>
        <w:t>便携的体积测量</w:t>
      </w:r>
      <w:r>
        <w:rPr>
          <w:rFonts w:hint="eastAsia" w:ascii="仿宋" w:hAnsi="仿宋" w:eastAsia="仿宋" w:cs="仿宋"/>
          <w:sz w:val="22"/>
          <w:szCs w:val="22"/>
        </w:rPr>
        <w:t>产品</w:t>
      </w:r>
      <w:r>
        <w:rPr>
          <w:rFonts w:hint="eastAsia" w:ascii="仿宋" w:hAnsi="仿宋" w:eastAsia="仿宋" w:cs="仿宋"/>
          <w:sz w:val="22"/>
          <w:szCs w:val="22"/>
          <w:lang w:val="en-US" w:eastAsia="zh-CN"/>
        </w:rPr>
        <w:t>成为必需品，它可以随时检测人的体重，进而判断体重是否增加，</w:t>
      </w:r>
      <w:r>
        <w:rPr>
          <w:rFonts w:hint="eastAsia" w:ascii="仿宋" w:hAnsi="仿宋" w:eastAsia="仿宋" w:cs="仿宋"/>
          <w:sz w:val="22"/>
          <w:szCs w:val="22"/>
        </w:rPr>
        <w:t>督促让人们去减肥，促进人体健康，</w:t>
      </w:r>
      <w:r>
        <w:rPr>
          <w:rFonts w:hint="eastAsia" w:ascii="仿宋" w:hAnsi="仿宋" w:eastAsia="仿宋" w:cs="仿宋"/>
          <w:b w:val="0"/>
          <w:bCs w:val="0"/>
          <w:sz w:val="22"/>
          <w:szCs w:val="22"/>
        </w:rPr>
        <w:t>防止各种疾病</w:t>
      </w:r>
      <w:r>
        <w:rPr>
          <w:rFonts w:hint="eastAsia" w:ascii="仿宋" w:hAnsi="仿宋" w:eastAsia="仿宋" w:cs="仿宋"/>
          <w:b/>
          <w:bCs/>
          <w:sz w:val="22"/>
          <w:szCs w:val="22"/>
        </w:rPr>
        <w:t>。</w:t>
      </w:r>
    </w:p>
    <w:p w14:paraId="5FB77DCE">
      <w:pPr>
        <w:jc w:val="left"/>
        <w:rPr>
          <w:rFonts w:hint="eastAsia" w:ascii="仿宋" w:hAnsi="仿宋" w:eastAsia="仿宋" w:cs="仿宋"/>
          <w:b w:val="0"/>
          <w:bCs w:val="0"/>
          <w:sz w:val="22"/>
          <w:szCs w:val="22"/>
          <w:lang w:val="en-US" w:eastAsia="zh-CN"/>
        </w:rPr>
      </w:pPr>
      <w:r>
        <w:rPr>
          <w:rFonts w:hint="eastAsia" w:ascii="仿宋" w:hAnsi="仿宋" w:eastAsia="仿宋" w:cs="仿宋"/>
          <w:b/>
          <w:bCs/>
          <w:sz w:val="22"/>
          <w:szCs w:val="22"/>
          <w:lang w:val="en-US" w:eastAsia="zh-CN"/>
        </w:rPr>
        <w:t>关键词：</w:t>
      </w:r>
      <w:r>
        <w:rPr>
          <w:rFonts w:hint="eastAsia" w:ascii="仿宋" w:hAnsi="仿宋" w:eastAsia="仿宋" w:cs="仿宋"/>
          <w:b w:val="0"/>
          <w:bCs w:val="0"/>
          <w:sz w:val="22"/>
          <w:szCs w:val="22"/>
          <w:lang w:val="en-US" w:eastAsia="zh-CN"/>
        </w:rPr>
        <w:t>减肥；警报鞋；便携；自动检测；</w:t>
      </w:r>
    </w:p>
    <w:p w14:paraId="1CB22DFD">
      <w:pPr>
        <w:jc w:val="center"/>
        <w:rPr>
          <w:rFonts w:hint="eastAsia" w:ascii="仿宋" w:hAnsi="仿宋" w:eastAsia="仿宋" w:cs="仿宋"/>
          <w:b w:val="0"/>
          <w:bCs w:val="0"/>
          <w:sz w:val="24"/>
          <w:szCs w:val="24"/>
          <w:lang w:val="en-US" w:eastAsia="zh-CN"/>
        </w:rPr>
      </w:pPr>
    </w:p>
    <w:p w14:paraId="43801953">
      <w:pPr>
        <w:numPr>
          <w:ilvl w:val="0"/>
          <w:numId w:val="0"/>
        </w:numPr>
        <w:jc w:val="lef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一．活动背景</w:t>
      </w:r>
    </w:p>
    <w:p w14:paraId="6ADC5529">
      <w:pPr>
        <w:numPr>
          <w:ilvl w:val="0"/>
          <w:numId w:val="0"/>
        </w:numPr>
        <w:jc w:val="left"/>
        <w:rPr>
          <w:rFonts w:hint="eastAsia" w:ascii="仿宋" w:hAnsi="仿宋" w:eastAsia="仿宋" w:cs="仿宋"/>
          <w:i w:val="0"/>
          <w:caps w:val="0"/>
          <w:color w:val="333333"/>
          <w:spacing w:val="0"/>
          <w:sz w:val="24"/>
          <w:szCs w:val="24"/>
          <w:shd w:val="clear" w:fill="FFFFFF"/>
          <w:lang w:val="en-US" w:eastAsia="zh-CN"/>
        </w:rPr>
      </w:pPr>
      <w:r>
        <w:rPr>
          <w:rFonts w:hint="eastAsia" w:ascii="仿宋" w:hAnsi="仿宋" w:eastAsia="仿宋" w:cs="仿宋"/>
          <w:b w:val="0"/>
          <w:bCs w:val="0"/>
          <w:sz w:val="24"/>
          <w:szCs w:val="24"/>
          <w:lang w:val="en-US" w:eastAsia="zh-CN"/>
        </w:rPr>
        <w:t>1</w:t>
      </w:r>
      <w:r>
        <w:rPr>
          <w:rFonts w:hint="eastAsia" w:ascii="仿宋" w:hAnsi="仿宋" w:eastAsia="仿宋" w:cs="仿宋"/>
          <w:i w:val="0"/>
          <w:caps w:val="0"/>
          <w:color w:val="333333"/>
          <w:spacing w:val="0"/>
          <w:sz w:val="24"/>
          <w:szCs w:val="24"/>
          <w:shd w:val="clear" w:fill="FFFFFF"/>
          <w:lang w:val="en-US" w:eastAsia="zh-CN"/>
        </w:rPr>
        <w:t>.社会背景：现今，高热量、高脂肪的食品大量摄入，导致大多数人都有肥胖的倾向，根据新国际医学杂志《柳叶刀》发布数据，中国有9千万肥胖人群，其中1200万属于重度肥胖，肥胖已经成为严重的社会问题，科学减重刻不容缓。</w:t>
      </w:r>
    </w:p>
    <w:p w14:paraId="7A387E15">
      <w:pPr>
        <w:numPr>
          <w:ilvl w:val="0"/>
          <w:numId w:val="0"/>
        </w:numPr>
        <w:jc w:val="left"/>
        <w:rPr>
          <w:rFonts w:hint="eastAsia" w:ascii="仿宋" w:hAnsi="仿宋" w:eastAsia="仿宋" w:cs="仿宋"/>
          <w:i w:val="0"/>
          <w:caps w:val="0"/>
          <w:color w:val="333333"/>
          <w:spacing w:val="0"/>
          <w:sz w:val="24"/>
          <w:szCs w:val="24"/>
          <w:shd w:val="clear" w:fill="FFFFFF"/>
          <w:lang w:val="en-US" w:eastAsia="zh-CN"/>
        </w:rPr>
      </w:pPr>
      <w:r>
        <w:rPr>
          <w:rFonts w:hint="eastAsia" w:ascii="仿宋" w:hAnsi="仿宋" w:eastAsia="仿宋" w:cs="仿宋"/>
          <w:i w:val="0"/>
          <w:caps w:val="0"/>
          <w:color w:val="333333"/>
          <w:spacing w:val="0"/>
          <w:sz w:val="24"/>
          <w:szCs w:val="24"/>
          <w:shd w:val="clear" w:fill="FFFFFF"/>
          <w:lang w:val="en-US" w:eastAsia="zh-CN"/>
        </w:rPr>
        <w:t>2.肥胖</w:t>
      </w:r>
      <w:r>
        <w:rPr>
          <w:rFonts w:hint="eastAsia" w:ascii="仿宋" w:hAnsi="仿宋" w:eastAsia="仿宋" w:cs="仿宋"/>
          <w:b w:val="0"/>
          <w:bCs w:val="0"/>
          <w:sz w:val="24"/>
          <w:szCs w:val="24"/>
          <w:lang w:val="en-US" w:eastAsia="zh-CN"/>
        </w:rPr>
        <w:t>的坏处：肥胖</w:t>
      </w:r>
      <w:r>
        <w:rPr>
          <w:rFonts w:hint="eastAsia" w:ascii="仿宋" w:hAnsi="仿宋" w:eastAsia="仿宋" w:cs="仿宋"/>
          <w:i w:val="0"/>
          <w:caps w:val="0"/>
          <w:color w:val="333333"/>
          <w:spacing w:val="0"/>
          <w:sz w:val="24"/>
          <w:szCs w:val="24"/>
          <w:shd w:val="clear" w:fill="FFFFFF"/>
        </w:rPr>
        <w:t>可以引起高脂血症、糖尿病、痛</w:t>
      </w:r>
      <w:r>
        <w:rPr>
          <w:rFonts w:hint="eastAsia" w:ascii="仿宋" w:hAnsi="仿宋" w:eastAsia="仿宋" w:cs="仿宋"/>
          <w:i w:val="0"/>
          <w:caps w:val="0"/>
          <w:color w:val="333333"/>
          <w:spacing w:val="0"/>
          <w:sz w:val="24"/>
          <w:szCs w:val="24"/>
          <w:shd w:val="clear" w:fill="FFFFFF"/>
          <w:lang w:val="en-US" w:eastAsia="zh-CN"/>
        </w:rPr>
        <w:t>风等类疾病，可引起肿瘤，如食管癌、消化道肿瘤、胰腺肿瘤及乳腺癌、引起骨关节炎、女性的不孕不育，呼吸睡眠暂停。此外，高血压的病人在肥胖里边，发病率特别高的。</w:t>
      </w:r>
    </w:p>
    <w:p w14:paraId="6176ED3B">
      <w:pPr>
        <w:numPr>
          <w:ilvl w:val="0"/>
          <w:numId w:val="0"/>
        </w:numPr>
        <w:jc w:val="left"/>
        <w:rPr>
          <w:rFonts w:hint="eastAsia" w:ascii="仿宋" w:hAnsi="仿宋" w:eastAsia="仿宋" w:cs="仿宋"/>
          <w:i w:val="0"/>
          <w:caps w:val="0"/>
          <w:color w:val="333333"/>
          <w:spacing w:val="0"/>
          <w:sz w:val="24"/>
          <w:szCs w:val="24"/>
          <w:shd w:val="clear" w:fill="FFFFFF"/>
          <w:lang w:val="en-US" w:eastAsia="zh-CN"/>
        </w:rPr>
      </w:pPr>
      <w:r>
        <w:rPr>
          <w:rFonts w:hint="eastAsia" w:ascii="仿宋" w:hAnsi="仿宋" w:eastAsia="仿宋" w:cs="仿宋"/>
          <w:i w:val="0"/>
          <w:caps w:val="0"/>
          <w:color w:val="333333"/>
          <w:spacing w:val="0"/>
          <w:sz w:val="24"/>
          <w:szCs w:val="24"/>
          <w:shd w:val="clear" w:fill="FFFFFF"/>
          <w:lang w:val="en-US" w:eastAsia="zh-CN"/>
        </w:rPr>
        <w:t>3.减肥的好处：减肥可使得血压得到下降，令血脂有改善，同时减肥后，糖尿病患者的病情减轻，血糖容易控制，服药量减少；减轻脂肪肝、心脑血管、骨质疏松、胃食管的反流、呼吸睡眠暂停综合征等，减肥治百病。</w:t>
      </w:r>
    </w:p>
    <w:p w14:paraId="11378DA3">
      <w:pPr>
        <w:numPr>
          <w:ilvl w:val="0"/>
          <w:numId w:val="0"/>
        </w:numPr>
        <w:jc w:val="left"/>
        <w:rPr>
          <w:rFonts w:hint="eastAsia" w:ascii="仿宋" w:hAnsi="仿宋" w:eastAsia="仿宋" w:cs="仿宋"/>
          <w:b/>
          <w:bCs/>
          <w:i w:val="0"/>
          <w:caps w:val="0"/>
          <w:color w:val="333333"/>
          <w:spacing w:val="0"/>
          <w:sz w:val="24"/>
          <w:szCs w:val="24"/>
          <w:shd w:val="clear" w:fill="FFFFFF"/>
          <w:lang w:val="en-US" w:eastAsia="zh-CN"/>
        </w:rPr>
      </w:pPr>
      <w:r>
        <w:rPr>
          <w:rFonts w:hint="eastAsia" w:ascii="仿宋" w:hAnsi="仿宋" w:eastAsia="仿宋" w:cs="仿宋"/>
          <w:b/>
          <w:bCs/>
          <w:i w:val="0"/>
          <w:caps w:val="0"/>
          <w:color w:val="333333"/>
          <w:spacing w:val="0"/>
          <w:sz w:val="24"/>
          <w:szCs w:val="24"/>
          <w:shd w:val="clear" w:fill="FFFFFF"/>
          <w:lang w:val="en-US" w:eastAsia="zh-CN"/>
        </w:rPr>
        <w:t>二．活动目标</w:t>
      </w:r>
    </w:p>
    <w:p w14:paraId="6454CD7B">
      <w:pPr>
        <w:numPr>
          <w:ilvl w:val="0"/>
          <w:numId w:val="0"/>
        </w:numPr>
        <w:jc w:val="left"/>
        <w:rPr>
          <w:rFonts w:hint="eastAsia" w:ascii="仿宋" w:hAnsi="仿宋" w:eastAsia="仿宋" w:cs="仿宋"/>
          <w:b w:val="0"/>
          <w:bCs w:val="0"/>
          <w:i w:val="0"/>
          <w:caps w:val="0"/>
          <w:color w:val="333333"/>
          <w:spacing w:val="0"/>
          <w:sz w:val="24"/>
          <w:szCs w:val="24"/>
          <w:shd w:val="clear" w:fill="FFFFFF"/>
          <w:lang w:val="en-US" w:eastAsia="zh-CN"/>
        </w:rPr>
      </w:pPr>
      <w:r>
        <w:rPr>
          <w:rFonts w:hint="eastAsia" w:ascii="仿宋" w:hAnsi="仿宋" w:eastAsia="仿宋" w:cs="仿宋"/>
          <w:b w:val="0"/>
          <w:bCs w:val="0"/>
          <w:i w:val="0"/>
          <w:caps w:val="0"/>
          <w:color w:val="333333"/>
          <w:spacing w:val="0"/>
          <w:sz w:val="24"/>
          <w:szCs w:val="24"/>
          <w:shd w:val="clear" w:fill="FFFFFF"/>
          <w:lang w:val="en-US" w:eastAsia="zh-CN"/>
        </w:rPr>
        <w:t>1.通过网络搜索，查找了解当代社会具体的健康情况以及肥胖人数所占的比例，了解肥胖的危害性。</w:t>
      </w:r>
    </w:p>
    <w:p w14:paraId="2830F366">
      <w:pPr>
        <w:numPr>
          <w:ilvl w:val="0"/>
          <w:numId w:val="0"/>
        </w:numPr>
        <w:jc w:val="left"/>
        <w:rPr>
          <w:rFonts w:hint="eastAsia" w:ascii="仿宋" w:hAnsi="仿宋" w:eastAsia="仿宋" w:cs="仿宋"/>
          <w:b w:val="0"/>
          <w:bCs w:val="0"/>
          <w:i w:val="0"/>
          <w:caps w:val="0"/>
          <w:color w:val="333333"/>
          <w:spacing w:val="0"/>
          <w:sz w:val="24"/>
          <w:szCs w:val="24"/>
          <w:shd w:val="clear" w:fill="FFFFFF"/>
          <w:lang w:val="en-US" w:eastAsia="zh-CN"/>
        </w:rPr>
      </w:pPr>
      <w:r>
        <w:rPr>
          <w:rFonts w:hint="eastAsia" w:ascii="仿宋" w:hAnsi="仿宋" w:eastAsia="仿宋" w:cs="仿宋"/>
          <w:b w:val="0"/>
          <w:bCs w:val="0"/>
          <w:i w:val="0"/>
          <w:caps w:val="0"/>
          <w:color w:val="333333"/>
          <w:spacing w:val="0"/>
          <w:sz w:val="24"/>
          <w:szCs w:val="24"/>
          <w:shd w:val="clear" w:fill="FFFFFF"/>
          <w:lang w:val="en-US" w:eastAsia="zh-CN"/>
        </w:rPr>
        <w:t>2.设计出具体的电路图并连接实际电路，并进行实验，成功用传感器得出人体足底的压力。</w:t>
      </w:r>
    </w:p>
    <w:p w14:paraId="6FE987A2">
      <w:pPr>
        <w:numPr>
          <w:ilvl w:val="0"/>
          <w:numId w:val="0"/>
        </w:numPr>
        <w:jc w:val="left"/>
        <w:rPr>
          <w:rFonts w:hint="eastAsia" w:ascii="仿宋" w:hAnsi="仿宋" w:eastAsia="仿宋" w:cs="仿宋"/>
          <w:b w:val="0"/>
          <w:bCs w:val="0"/>
          <w:i w:val="0"/>
          <w:caps w:val="0"/>
          <w:color w:val="333333"/>
          <w:spacing w:val="0"/>
          <w:sz w:val="24"/>
          <w:szCs w:val="24"/>
          <w:shd w:val="clear" w:fill="FFFFFF"/>
          <w:lang w:val="en-US" w:eastAsia="zh-CN"/>
        </w:rPr>
      </w:pPr>
      <w:r>
        <w:rPr>
          <w:rFonts w:hint="eastAsia" w:ascii="仿宋" w:hAnsi="仿宋" w:eastAsia="仿宋" w:cs="仿宋"/>
          <w:b w:val="0"/>
          <w:bCs w:val="0"/>
          <w:i w:val="0"/>
          <w:caps w:val="0"/>
          <w:color w:val="333333"/>
          <w:spacing w:val="0"/>
          <w:sz w:val="24"/>
          <w:szCs w:val="24"/>
          <w:shd w:val="clear" w:fill="FFFFFF"/>
          <w:lang w:val="en-US" w:eastAsia="zh-CN"/>
        </w:rPr>
        <w:t>3.了解人体体重与身高之间的比例关系，通过arduino以及各类传感器来实现将人体压力与其身高利用函数运算制作成相应的体重指数并对照人体的体重指数表格来判断人体是否超重。</w:t>
      </w:r>
    </w:p>
    <w:p w14:paraId="2E881CD3">
      <w:pPr>
        <w:numPr>
          <w:ilvl w:val="0"/>
          <w:numId w:val="0"/>
        </w:numPr>
        <w:jc w:val="left"/>
        <w:rPr>
          <w:rFonts w:hint="eastAsia" w:ascii="仿宋" w:hAnsi="仿宋" w:eastAsia="仿宋" w:cs="仿宋"/>
          <w:b w:val="0"/>
          <w:bCs w:val="0"/>
          <w:i w:val="0"/>
          <w:caps w:val="0"/>
          <w:color w:val="333333"/>
          <w:spacing w:val="0"/>
          <w:sz w:val="24"/>
          <w:szCs w:val="24"/>
          <w:shd w:val="clear" w:fill="FFFFFF"/>
          <w:lang w:val="en-US" w:eastAsia="zh-CN"/>
        </w:rPr>
      </w:pPr>
      <w:r>
        <w:rPr>
          <w:rFonts w:hint="eastAsia" w:ascii="仿宋" w:hAnsi="仿宋" w:eastAsia="仿宋" w:cs="仿宋"/>
          <w:b w:val="0"/>
          <w:bCs w:val="0"/>
          <w:i w:val="0"/>
          <w:caps w:val="0"/>
          <w:color w:val="333333"/>
          <w:spacing w:val="0"/>
          <w:sz w:val="24"/>
          <w:szCs w:val="24"/>
          <w:shd w:val="clear" w:fill="FFFFFF"/>
          <w:lang w:val="en-US" w:eastAsia="zh-CN"/>
        </w:rPr>
        <w:t>4.在判断出人人体的体重是否正常以后能成功通过LED灯泡来提示，LED屏显示相关数据，使用者得知自己的体重是否正常以达到督促使用者减肥的效果。</w:t>
      </w:r>
    </w:p>
    <w:p w14:paraId="21D6DFF6">
      <w:pPr>
        <w:numPr>
          <w:ilvl w:val="0"/>
          <w:numId w:val="0"/>
        </w:numPr>
        <w:jc w:val="left"/>
        <w:rPr>
          <w:rFonts w:hint="eastAsia" w:ascii="仿宋" w:hAnsi="仿宋" w:eastAsia="仿宋" w:cs="仿宋"/>
          <w:b w:val="0"/>
          <w:bCs w:val="0"/>
          <w:i w:val="0"/>
          <w:caps w:val="0"/>
          <w:color w:val="333333"/>
          <w:spacing w:val="0"/>
          <w:sz w:val="24"/>
          <w:szCs w:val="24"/>
          <w:shd w:val="clear" w:fill="FFFFFF"/>
          <w:lang w:val="en-US" w:eastAsia="zh-CN"/>
        </w:rPr>
      </w:pPr>
      <w:r>
        <w:rPr>
          <w:rFonts w:hint="eastAsia" w:ascii="仿宋" w:hAnsi="仿宋" w:eastAsia="仿宋" w:cs="仿宋"/>
          <w:b w:val="0"/>
          <w:bCs w:val="0"/>
          <w:i w:val="0"/>
          <w:caps w:val="0"/>
          <w:color w:val="333333"/>
          <w:spacing w:val="0"/>
          <w:sz w:val="24"/>
          <w:szCs w:val="24"/>
          <w:shd w:val="clear" w:fill="FFFFFF"/>
          <w:lang w:val="en-US" w:eastAsia="zh-CN"/>
        </w:rPr>
        <w:t>5、尽可能减小检测器体积，做到便携、自动检测。</w:t>
      </w:r>
    </w:p>
    <w:p w14:paraId="6BB41BD8">
      <w:pPr>
        <w:numPr>
          <w:ilvl w:val="0"/>
          <w:numId w:val="0"/>
        </w:numPr>
        <w:jc w:val="left"/>
        <w:rPr>
          <w:rFonts w:hint="eastAsia" w:ascii="仿宋" w:hAnsi="仿宋" w:eastAsia="仿宋" w:cs="仿宋"/>
          <w:b/>
          <w:bCs/>
          <w:i w:val="0"/>
          <w:caps w:val="0"/>
          <w:color w:val="333333"/>
          <w:spacing w:val="0"/>
          <w:sz w:val="24"/>
          <w:szCs w:val="24"/>
          <w:shd w:val="clear" w:fill="FFFFFF"/>
          <w:lang w:val="en-US" w:eastAsia="zh-CN"/>
        </w:rPr>
      </w:pPr>
      <w:r>
        <w:rPr>
          <w:rFonts w:hint="eastAsia" w:ascii="仿宋" w:hAnsi="仿宋" w:eastAsia="仿宋" w:cs="仿宋"/>
          <w:b/>
          <w:bCs/>
          <w:i w:val="0"/>
          <w:caps w:val="0"/>
          <w:color w:val="333333"/>
          <w:spacing w:val="0"/>
          <w:sz w:val="24"/>
          <w:szCs w:val="24"/>
          <w:shd w:val="clear" w:fill="FFFFFF"/>
          <w:lang w:val="en-US" w:eastAsia="zh-CN"/>
        </w:rPr>
        <w:t>三．活动研究方法</w:t>
      </w:r>
    </w:p>
    <w:p w14:paraId="52295A5C">
      <w:pPr>
        <w:numPr>
          <w:ilvl w:val="0"/>
          <w:numId w:val="0"/>
        </w:numPr>
        <w:jc w:val="left"/>
        <w:rPr>
          <w:rFonts w:hint="eastAsia" w:ascii="仿宋" w:hAnsi="仿宋" w:eastAsia="仿宋" w:cs="仿宋"/>
          <w:b w:val="0"/>
          <w:bCs w:val="0"/>
          <w:i w:val="0"/>
          <w:caps w:val="0"/>
          <w:color w:val="333333"/>
          <w:spacing w:val="0"/>
          <w:sz w:val="24"/>
          <w:szCs w:val="24"/>
          <w:shd w:val="clear" w:fill="FFFFFF"/>
          <w:lang w:val="en-US" w:eastAsia="zh-CN"/>
        </w:rPr>
      </w:pPr>
      <w:r>
        <w:rPr>
          <w:rFonts w:hint="eastAsia" w:ascii="仿宋" w:hAnsi="仿宋" w:eastAsia="仿宋" w:cs="仿宋"/>
          <w:b w:val="0"/>
          <w:bCs w:val="0"/>
          <w:i w:val="0"/>
          <w:caps w:val="0"/>
          <w:color w:val="333333"/>
          <w:spacing w:val="0"/>
          <w:sz w:val="24"/>
          <w:szCs w:val="24"/>
          <w:shd w:val="clear" w:fill="FFFFFF"/>
          <w:lang w:val="en-US" w:eastAsia="zh-CN"/>
        </w:rPr>
        <w:t>1.调查与分析</w:t>
      </w:r>
    </w:p>
    <w:p w14:paraId="40E2C5B5">
      <w:pPr>
        <w:numPr>
          <w:ilvl w:val="0"/>
          <w:numId w:val="0"/>
        </w:numPr>
        <w:ind w:firstLine="420" w:firstLineChars="0"/>
        <w:jc w:val="left"/>
        <w:rPr>
          <w:rFonts w:hint="eastAsia" w:ascii="仿宋" w:hAnsi="仿宋" w:eastAsia="仿宋" w:cs="仿宋"/>
          <w:b w:val="0"/>
          <w:bCs w:val="0"/>
          <w:i w:val="0"/>
          <w:caps w:val="0"/>
          <w:color w:val="333333"/>
          <w:spacing w:val="0"/>
          <w:sz w:val="24"/>
          <w:szCs w:val="24"/>
          <w:shd w:val="clear" w:fill="FFFFFF"/>
          <w:lang w:val="en-US" w:eastAsia="zh-CN"/>
        </w:rPr>
      </w:pPr>
      <w:r>
        <w:rPr>
          <w:rFonts w:hint="eastAsia" w:ascii="仿宋" w:hAnsi="仿宋" w:eastAsia="仿宋" w:cs="仿宋"/>
          <w:b w:val="0"/>
          <w:bCs w:val="0"/>
          <w:i w:val="0"/>
          <w:caps w:val="0"/>
          <w:color w:val="333333"/>
          <w:spacing w:val="0"/>
          <w:sz w:val="24"/>
          <w:szCs w:val="24"/>
          <w:shd w:val="clear" w:fill="FFFFFF"/>
          <w:lang w:val="en-US" w:eastAsia="zh-CN"/>
        </w:rPr>
        <w:t>在网络上查找社会人群肥胖占比后，再制作出一份调查表格分发到学校各个班级，小区，并在网络上发布调查问卷。对所得到的数据进行归纳分析，得出社会目前确实肥胖人数比例较前今年有所升高。</w:t>
      </w:r>
    </w:p>
    <w:p w14:paraId="784CD887">
      <w:pPr>
        <w:numPr>
          <w:ilvl w:val="0"/>
          <w:numId w:val="1"/>
        </w:numPr>
        <w:jc w:val="left"/>
        <w:rPr>
          <w:rFonts w:hint="eastAsia" w:ascii="仿宋" w:hAnsi="仿宋" w:eastAsia="仿宋" w:cs="仿宋"/>
          <w:b w:val="0"/>
          <w:bCs w:val="0"/>
          <w:i w:val="0"/>
          <w:caps w:val="0"/>
          <w:color w:val="333333"/>
          <w:spacing w:val="0"/>
          <w:sz w:val="24"/>
          <w:szCs w:val="24"/>
          <w:shd w:val="clear" w:fill="FFFFFF"/>
          <w:lang w:val="en-US" w:eastAsia="zh-CN"/>
        </w:rPr>
      </w:pPr>
      <w:r>
        <w:rPr>
          <w:rFonts w:hint="eastAsia" w:ascii="仿宋" w:hAnsi="仿宋" w:eastAsia="仿宋" w:cs="仿宋"/>
          <w:b w:val="0"/>
          <w:bCs w:val="0"/>
          <w:i w:val="0"/>
          <w:caps w:val="0"/>
          <w:color w:val="333333"/>
          <w:spacing w:val="0"/>
          <w:sz w:val="24"/>
          <w:szCs w:val="24"/>
          <w:shd w:val="clear" w:fill="FFFFFF"/>
          <w:lang w:val="en-US" w:eastAsia="zh-CN"/>
        </w:rPr>
        <w:t>实例研究</w:t>
      </w:r>
    </w:p>
    <w:p w14:paraId="3A76A532">
      <w:pPr>
        <w:widowControl w:val="0"/>
        <w:numPr>
          <w:ilvl w:val="0"/>
          <w:numId w:val="0"/>
        </w:numPr>
        <w:ind w:firstLine="420" w:firstLineChars="0"/>
        <w:jc w:val="left"/>
        <w:rPr>
          <w:rFonts w:hint="eastAsia" w:ascii="仿宋" w:hAnsi="仿宋" w:eastAsia="仿宋" w:cs="仿宋"/>
          <w:b w:val="0"/>
          <w:bCs w:val="0"/>
          <w:i w:val="0"/>
          <w:caps w:val="0"/>
          <w:color w:val="333333"/>
          <w:spacing w:val="0"/>
          <w:sz w:val="24"/>
          <w:szCs w:val="24"/>
          <w:shd w:val="clear" w:fill="FFFFFF"/>
          <w:lang w:val="en-US" w:eastAsia="zh-CN"/>
        </w:rPr>
      </w:pPr>
      <w:r>
        <w:rPr>
          <w:rFonts w:hint="eastAsia" w:ascii="仿宋" w:hAnsi="仿宋" w:eastAsia="仿宋" w:cs="仿宋"/>
          <w:b w:val="0"/>
          <w:bCs w:val="0"/>
          <w:i w:val="0"/>
          <w:caps w:val="0"/>
          <w:color w:val="333333"/>
          <w:spacing w:val="0"/>
          <w:sz w:val="24"/>
          <w:szCs w:val="24"/>
          <w:shd w:val="clear" w:fill="FFFFFF"/>
          <w:lang w:val="en-US" w:eastAsia="zh-CN"/>
        </w:rPr>
        <w:t>找寻多个身高体重不同段的实验者，记录下其身高体重并对其加以分析，对照网上健康指标得出其体重是否超标。将压力传感器置于其脚底后部测出其足底压力值并与体重进行对比得出足底压力与人体真实体重之间的关系，输送到arduino内加以函数分析得出人体的体重指标。记录其数据。</w:t>
      </w:r>
    </w:p>
    <w:p w14:paraId="7A8337BA">
      <w:pPr>
        <w:widowControl w:val="0"/>
        <w:numPr>
          <w:ilvl w:val="0"/>
          <w:numId w:val="1"/>
        </w:numPr>
        <w:ind w:left="0" w:leftChars="0" w:firstLine="0" w:firstLineChars="0"/>
        <w:jc w:val="left"/>
        <w:rPr>
          <w:rFonts w:hint="eastAsia" w:ascii="仿宋" w:hAnsi="仿宋" w:eastAsia="仿宋" w:cs="仿宋"/>
          <w:b w:val="0"/>
          <w:bCs w:val="0"/>
          <w:i w:val="0"/>
          <w:caps w:val="0"/>
          <w:color w:val="333333"/>
          <w:spacing w:val="0"/>
          <w:sz w:val="24"/>
          <w:szCs w:val="24"/>
          <w:shd w:val="clear" w:fill="FFFFFF"/>
          <w:lang w:val="en-US" w:eastAsia="zh-CN"/>
        </w:rPr>
      </w:pPr>
      <w:r>
        <w:rPr>
          <w:rFonts w:hint="eastAsia" w:ascii="仿宋" w:hAnsi="仿宋" w:eastAsia="仿宋" w:cs="仿宋"/>
          <w:b w:val="0"/>
          <w:bCs w:val="0"/>
          <w:i w:val="0"/>
          <w:caps w:val="0"/>
          <w:color w:val="333333"/>
          <w:spacing w:val="0"/>
          <w:sz w:val="24"/>
          <w:szCs w:val="24"/>
          <w:shd w:val="clear" w:fill="FFFFFF"/>
          <w:lang w:val="en-US" w:eastAsia="zh-CN"/>
        </w:rPr>
        <w:t>模型试验</w:t>
      </w:r>
    </w:p>
    <w:p w14:paraId="6388DE35">
      <w:pPr>
        <w:widowControl w:val="0"/>
        <w:numPr>
          <w:ilvl w:val="0"/>
          <w:numId w:val="0"/>
        </w:numPr>
        <w:ind w:firstLine="420" w:firstLineChars="0"/>
        <w:jc w:val="left"/>
        <w:rPr>
          <w:rFonts w:hint="eastAsia" w:ascii="仿宋" w:hAnsi="仿宋" w:eastAsia="仿宋" w:cs="仿宋"/>
          <w:b w:val="0"/>
          <w:bCs w:val="0"/>
          <w:i w:val="0"/>
          <w:caps w:val="0"/>
          <w:color w:val="333333"/>
          <w:spacing w:val="0"/>
          <w:sz w:val="24"/>
          <w:szCs w:val="24"/>
          <w:shd w:val="clear" w:fill="FFFFFF"/>
          <w:lang w:val="en-US" w:eastAsia="zh-CN"/>
        </w:rPr>
      </w:pPr>
      <w:r>
        <w:rPr>
          <w:rFonts w:hint="eastAsia" w:ascii="仿宋" w:hAnsi="仿宋" w:eastAsia="仿宋" w:cs="仿宋"/>
          <w:b w:val="0"/>
          <w:bCs w:val="0"/>
          <w:i w:val="0"/>
          <w:caps w:val="0"/>
          <w:color w:val="333333"/>
          <w:spacing w:val="0"/>
          <w:sz w:val="24"/>
          <w:szCs w:val="24"/>
          <w:shd w:val="clear" w:fill="FFFFFF"/>
          <w:lang w:val="en-US" w:eastAsia="zh-CN"/>
        </w:rPr>
        <w:t>首先根据所实现的目的进行电路图的绘制，再连接出实际电路，试验、调试。</w:t>
      </w:r>
    </w:p>
    <w:p w14:paraId="2AACEB73">
      <w:pPr>
        <w:widowControl w:val="0"/>
        <w:numPr>
          <w:ilvl w:val="0"/>
          <w:numId w:val="0"/>
        </w:numPr>
        <w:jc w:val="left"/>
        <w:rPr>
          <w:rFonts w:hint="eastAsia" w:ascii="仿宋" w:hAnsi="仿宋" w:eastAsia="仿宋" w:cs="仿宋"/>
          <w:b w:val="0"/>
          <w:bCs w:val="0"/>
          <w:i w:val="0"/>
          <w:caps w:val="0"/>
          <w:color w:val="333333"/>
          <w:spacing w:val="0"/>
          <w:sz w:val="24"/>
          <w:szCs w:val="24"/>
          <w:shd w:val="clear" w:fill="FFFFFF"/>
          <w:lang w:val="en-US" w:eastAsia="zh-CN"/>
        </w:rPr>
      </w:pPr>
    </w:p>
    <w:p w14:paraId="603AE265">
      <w:pPr>
        <w:widowControl w:val="0"/>
        <w:numPr>
          <w:ilvl w:val="0"/>
          <w:numId w:val="2"/>
        </w:numPr>
        <w:jc w:val="left"/>
        <w:rPr>
          <w:rFonts w:hint="eastAsia" w:ascii="仿宋" w:hAnsi="仿宋" w:eastAsia="仿宋" w:cs="仿宋"/>
          <w:b/>
          <w:bCs/>
          <w:i w:val="0"/>
          <w:caps w:val="0"/>
          <w:color w:val="333333"/>
          <w:spacing w:val="0"/>
          <w:sz w:val="24"/>
          <w:szCs w:val="24"/>
          <w:shd w:val="clear" w:fill="FFFFFF"/>
          <w:lang w:val="en-US" w:eastAsia="zh-CN"/>
        </w:rPr>
      </w:pPr>
      <w:r>
        <w:rPr>
          <w:rFonts w:hint="eastAsia" w:ascii="仿宋" w:hAnsi="仿宋" w:eastAsia="仿宋" w:cs="仿宋"/>
          <w:b/>
          <w:bCs/>
          <w:i w:val="0"/>
          <w:caps w:val="0"/>
          <w:color w:val="333333"/>
          <w:spacing w:val="0"/>
          <w:sz w:val="24"/>
          <w:szCs w:val="24"/>
          <w:shd w:val="clear" w:fill="FFFFFF"/>
          <w:lang w:val="en-US" w:eastAsia="zh-CN"/>
        </w:rPr>
        <w:t>产品原理以及作用过程</w:t>
      </w:r>
    </w:p>
    <w:p w14:paraId="54DB348D">
      <w:pPr>
        <w:widowControl w:val="0"/>
        <w:numPr>
          <w:ilvl w:val="0"/>
          <w:numId w:val="0"/>
        </w:numPr>
        <w:ind w:firstLine="420" w:firstLineChars="0"/>
        <w:jc w:val="left"/>
        <w:rPr>
          <w:rFonts w:hint="eastAsia" w:ascii="仿宋" w:hAnsi="仿宋" w:eastAsia="仿宋" w:cs="仿宋"/>
          <w:b w:val="0"/>
          <w:bCs w:val="0"/>
          <w:i w:val="0"/>
          <w:caps w:val="0"/>
          <w:color w:val="333333"/>
          <w:spacing w:val="0"/>
          <w:sz w:val="24"/>
          <w:szCs w:val="24"/>
          <w:shd w:val="clear" w:fill="FFFFFF"/>
          <w:lang w:val="en-US" w:eastAsia="zh-CN"/>
        </w:rPr>
      </w:pPr>
      <w:r>
        <w:rPr>
          <w:rFonts w:hint="eastAsia" w:ascii="仿宋" w:hAnsi="仿宋" w:eastAsia="仿宋" w:cs="仿宋"/>
          <w:b w:val="0"/>
          <w:bCs w:val="0"/>
          <w:i w:val="0"/>
          <w:caps w:val="0"/>
          <w:color w:val="333333"/>
          <w:spacing w:val="0"/>
          <w:sz w:val="24"/>
          <w:szCs w:val="24"/>
          <w:shd w:val="clear" w:fill="FFFFFF"/>
          <w:lang w:val="en-US" w:eastAsia="zh-CN"/>
        </w:rPr>
        <w:t>主体：该产品通过固定在脚底的压力传感器使用转换模块传输足底压力数值，输入到主板中，对其进行函数分析得出体重指数，当体重偏瘦的时候亮黄灯，体重正常的时候亮绿灯，体重超重的时候亮红灯。</w:t>
      </w:r>
    </w:p>
    <w:p w14:paraId="2598F750">
      <w:pPr>
        <w:widowControl w:val="0"/>
        <w:numPr>
          <w:ilvl w:val="0"/>
          <w:numId w:val="0"/>
        </w:numPr>
        <w:ind w:firstLine="420" w:firstLineChars="0"/>
        <w:jc w:val="left"/>
        <w:rPr>
          <w:rFonts w:hint="eastAsia" w:ascii="仿宋" w:hAnsi="仿宋" w:eastAsia="仿宋" w:cs="仿宋"/>
          <w:b w:val="0"/>
          <w:bCs w:val="0"/>
          <w:i w:val="0"/>
          <w:caps w:val="0"/>
          <w:color w:val="333333"/>
          <w:spacing w:val="0"/>
          <w:sz w:val="24"/>
          <w:szCs w:val="24"/>
          <w:shd w:val="clear" w:fill="FFFFFF"/>
          <w:lang w:val="en-US" w:eastAsia="zh-CN"/>
        </w:rPr>
      </w:pPr>
      <w:r>
        <w:rPr>
          <w:rFonts w:hint="eastAsia" w:ascii="仿宋" w:hAnsi="仿宋" w:eastAsia="仿宋" w:cs="仿宋"/>
          <w:b w:val="0"/>
          <w:bCs w:val="0"/>
          <w:i w:val="0"/>
          <w:caps w:val="0"/>
          <w:color w:val="333333"/>
          <w:spacing w:val="0"/>
          <w:sz w:val="24"/>
          <w:szCs w:val="24"/>
          <w:shd w:val="clear" w:fill="FFFFFF"/>
          <w:lang w:val="en-US" w:eastAsia="zh-CN"/>
        </w:rPr>
        <w:t>压力传感器：接入5V的电压，薄膜柔性压力电阻放大转电压输出，根据压力的不同输出的电阻不同根据欧姆定律输出的电压数值也发生改变再进行转化得出最终的得数。</w:t>
      </w:r>
    </w:p>
    <w:p w14:paraId="188AC4DE">
      <w:pPr>
        <w:widowControl w:val="0"/>
        <w:numPr>
          <w:ilvl w:val="0"/>
          <w:numId w:val="0"/>
        </w:numPr>
        <w:jc w:val="left"/>
        <w:rPr>
          <w:rFonts w:hint="eastAsia" w:ascii="仿宋" w:hAnsi="仿宋" w:eastAsia="仿宋" w:cs="仿宋"/>
          <w:b w:val="0"/>
          <w:bCs w:val="0"/>
          <w:i w:val="0"/>
          <w:caps w:val="0"/>
          <w:color w:val="333333"/>
          <w:spacing w:val="0"/>
          <w:sz w:val="24"/>
          <w:szCs w:val="24"/>
          <w:shd w:val="clear" w:fill="FFFFFF"/>
          <w:lang w:val="en-US" w:eastAsia="zh-CN"/>
        </w:rPr>
      </w:pPr>
    </w:p>
    <w:p w14:paraId="689F3917">
      <w:pPr>
        <w:widowControl w:val="0"/>
        <w:numPr>
          <w:ilvl w:val="0"/>
          <w:numId w:val="0"/>
        </w:numPr>
        <w:jc w:val="left"/>
        <w:rPr>
          <w:rFonts w:hint="eastAsia" w:ascii="仿宋" w:hAnsi="仿宋" w:eastAsia="仿宋" w:cs="仿宋"/>
          <w:b w:val="0"/>
          <w:bCs w:val="0"/>
          <w:i w:val="0"/>
          <w:caps w:val="0"/>
          <w:color w:val="333333"/>
          <w:spacing w:val="0"/>
          <w:sz w:val="24"/>
          <w:szCs w:val="24"/>
          <w:shd w:val="clear" w:fill="FFFFFF"/>
          <w:lang w:val="en-US" w:eastAsia="zh-CN"/>
        </w:rPr>
      </w:pPr>
      <w:r>
        <w:rPr>
          <w:rFonts w:hint="eastAsia" w:ascii="仿宋" w:hAnsi="仿宋" w:eastAsia="仿宋" w:cs="仿宋"/>
          <w:b/>
          <w:bCs/>
          <w:i w:val="0"/>
          <w:caps w:val="0"/>
          <w:color w:val="333333"/>
          <w:spacing w:val="0"/>
          <w:sz w:val="24"/>
          <w:szCs w:val="24"/>
          <w:shd w:val="clear" w:fill="FFFFFF"/>
          <w:lang w:val="en-US" w:eastAsia="zh-CN"/>
        </w:rPr>
        <w:t>五．活动具体实施过程</w:t>
      </w:r>
    </w:p>
    <w:p w14:paraId="64CD1F7A">
      <w:pPr>
        <w:widowControl w:val="0"/>
        <w:numPr>
          <w:ilvl w:val="0"/>
          <w:numId w:val="0"/>
        </w:numPr>
        <w:ind w:firstLine="420" w:firstLineChars="0"/>
        <w:jc w:val="left"/>
        <w:rPr>
          <w:rFonts w:hint="eastAsia" w:ascii="仿宋" w:hAnsi="仿宋" w:eastAsia="仿宋" w:cs="仿宋"/>
          <w:b w:val="0"/>
          <w:bCs w:val="0"/>
          <w:i w:val="0"/>
          <w:caps w:val="0"/>
          <w:color w:val="333333"/>
          <w:spacing w:val="0"/>
          <w:sz w:val="24"/>
          <w:szCs w:val="24"/>
          <w:shd w:val="clear" w:fill="FFFFFF"/>
          <w:lang w:val="en-US" w:eastAsia="zh-CN"/>
        </w:rPr>
      </w:pPr>
      <w:r>
        <w:rPr>
          <w:rFonts w:hint="eastAsia" w:ascii="仿宋" w:hAnsi="仿宋" w:eastAsia="仿宋" w:cs="仿宋"/>
          <w:b w:val="0"/>
          <w:bCs w:val="0"/>
          <w:i w:val="0"/>
          <w:caps w:val="0"/>
          <w:color w:val="333333"/>
          <w:spacing w:val="0"/>
          <w:sz w:val="24"/>
          <w:szCs w:val="24"/>
          <w:shd w:val="clear" w:fill="FFFFFF"/>
          <w:lang w:val="en-US" w:eastAsia="zh-CN"/>
        </w:rPr>
        <w:t>《减肥报警鞋》的制作是为了提醒使用者自己的身体状况并通过一定方法进行督促，帮助其进行减肥，该项目进行了广泛的信息查找以及问卷调查发现了生活中的肥胖问题，我校学习任务重，课余时间不多，所以项目进展时间较长。</w:t>
      </w:r>
    </w:p>
    <w:p w14:paraId="198E68FC">
      <w:pPr>
        <w:widowControl w:val="0"/>
        <w:numPr>
          <w:ilvl w:val="0"/>
          <w:numId w:val="0"/>
        </w:numPr>
        <w:ind w:firstLine="420" w:firstLineChars="0"/>
        <w:jc w:val="left"/>
        <w:rPr>
          <w:rFonts w:hint="eastAsia" w:ascii="仿宋" w:hAnsi="仿宋" w:eastAsia="仿宋" w:cs="仿宋"/>
          <w:b w:val="0"/>
          <w:bCs w:val="0"/>
          <w:i w:val="0"/>
          <w:caps w:val="0"/>
          <w:color w:val="333333"/>
          <w:spacing w:val="0"/>
          <w:sz w:val="24"/>
          <w:szCs w:val="24"/>
          <w:shd w:val="clear" w:fill="FFFFFF"/>
          <w:lang w:val="en-US" w:eastAsia="zh-CN"/>
        </w:rPr>
      </w:pPr>
      <w:r>
        <w:rPr>
          <w:rFonts w:hint="eastAsia" w:ascii="仿宋" w:hAnsi="仿宋" w:eastAsia="仿宋" w:cs="仿宋"/>
          <w:b w:val="0"/>
          <w:bCs w:val="0"/>
          <w:i w:val="0"/>
          <w:caps w:val="0"/>
          <w:color w:val="333333"/>
          <w:spacing w:val="0"/>
          <w:sz w:val="24"/>
          <w:szCs w:val="24"/>
          <w:shd w:val="clear" w:fill="FFFFFF"/>
          <w:lang w:val="en-US" w:eastAsia="zh-CN"/>
        </w:rPr>
        <w:t>本项目活动主要分为以下五个环节：</w:t>
      </w:r>
    </w:p>
    <w:p w14:paraId="0DD77E97">
      <w:pPr>
        <w:widowControl w:val="0"/>
        <w:numPr>
          <w:ilvl w:val="0"/>
          <w:numId w:val="0"/>
        </w:numPr>
        <w:jc w:val="left"/>
        <w:rPr>
          <w:rFonts w:hint="eastAsia" w:ascii="仿宋" w:hAnsi="仿宋" w:eastAsia="仿宋" w:cs="仿宋"/>
          <w:b w:val="0"/>
          <w:bCs w:val="0"/>
          <w:i w:val="0"/>
          <w:caps w:val="0"/>
          <w:color w:val="333333"/>
          <w:spacing w:val="0"/>
          <w:sz w:val="24"/>
          <w:szCs w:val="24"/>
          <w:shd w:val="clear" w:fill="FFFFFF"/>
          <w:lang w:val="en-US" w:eastAsia="zh-CN"/>
        </w:rPr>
      </w:pPr>
    </w:p>
    <w:p w14:paraId="61674FCD">
      <w:pPr>
        <w:rPr>
          <w:rFonts w:hint="eastAsia" w:ascii="仿宋" w:hAnsi="仿宋" w:eastAsia="仿宋" w:cs="仿宋"/>
          <w:sz w:val="24"/>
          <w:szCs w:val="24"/>
          <w:lang w:val="en-US" w:eastAsia="zh-CN"/>
        </w:rPr>
      </w:pPr>
      <w:r>
        <w:rPr>
          <w:rFonts w:hint="eastAsia" w:ascii="仿宋" w:hAnsi="仿宋" w:eastAsia="仿宋" w:cs="仿宋"/>
          <w:b/>
          <w:bCs/>
          <w:sz w:val="24"/>
          <w:szCs w:val="24"/>
          <w:lang w:val="en-US" w:eastAsia="zh-CN"/>
        </w:rPr>
        <w:t>环节一 发现问题  用时：1周</w:t>
      </w:r>
    </w:p>
    <w:p w14:paraId="7C32CD8F">
      <w:pPr>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观察生活中的现象，仔细观察法现需要解决的问题。</w:t>
      </w:r>
    </w:p>
    <w:p w14:paraId="57F427B3">
      <w:pPr>
        <w:rPr>
          <w:rFonts w:hint="eastAsia" w:ascii="仿宋" w:hAnsi="仿宋" w:eastAsia="仿宋" w:cs="仿宋"/>
          <w:sz w:val="24"/>
          <w:szCs w:val="24"/>
          <w:lang w:val="en-US" w:eastAsia="zh-CN"/>
        </w:rPr>
      </w:pPr>
      <w:r>
        <w:rPr>
          <w:rFonts w:hint="eastAsia" w:ascii="仿宋" w:hAnsi="仿宋" w:eastAsia="仿宋" w:cs="仿宋"/>
          <w:b/>
          <w:bCs/>
          <w:sz w:val="24"/>
          <w:szCs w:val="24"/>
          <w:lang w:val="en-US" w:eastAsia="zh-CN"/>
        </w:rPr>
        <w:t>环节二 明确问题  用时: 1周</w:t>
      </w:r>
    </w:p>
    <w:p w14:paraId="6E9D6F0F">
      <w:pPr>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收集身边的资料，进行调查，在网络上查找资料，分析其中的资料；</w:t>
      </w:r>
    </w:p>
    <w:p w14:paraId="35F96367">
      <w:pPr>
        <w:ind w:left="420" w:leftChars="20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发现身边的人群大多身材臃肿或过于消瘦，需要及时的给予该类人群相应的警示，提示他们去运动去减肥。</w:t>
      </w:r>
    </w:p>
    <w:p w14:paraId="108F815C">
      <w:pPr>
        <w:rPr>
          <w:rFonts w:hint="eastAsia" w:ascii="仿宋" w:hAnsi="仿宋" w:eastAsia="仿宋" w:cs="仿宋"/>
          <w:sz w:val="24"/>
          <w:szCs w:val="24"/>
          <w:lang w:val="en-US" w:eastAsia="zh-CN"/>
        </w:rPr>
      </w:pPr>
      <w:r>
        <w:rPr>
          <w:rFonts w:hint="eastAsia" w:ascii="仿宋" w:hAnsi="仿宋" w:eastAsia="仿宋" w:cs="仿宋"/>
          <w:b/>
          <w:bCs/>
          <w:sz w:val="24"/>
          <w:szCs w:val="24"/>
          <w:lang w:val="en-US" w:eastAsia="zh-CN"/>
        </w:rPr>
        <w:t>环节三 指定设计方案  用时：2周</w:t>
      </w:r>
    </w:p>
    <w:p w14:paraId="1BD795EC">
      <w:pPr>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设计检测器的外形，画出各个方案的草图；各个方案之间进行对比，对比其可行性与外观是否符合大众要求；根据需要实现的功能设计出电路图；</w:t>
      </w:r>
    </w:p>
    <w:p w14:paraId="0C332071">
      <w:pPr>
        <w:numPr>
          <w:ilvl w:val="0"/>
          <w:numId w:val="0"/>
        </w:numPr>
        <w:ind w:firstLine="420" w:firstLineChars="0"/>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所需的实验配件清单：</w:t>
      </w:r>
    </w:p>
    <w:p w14:paraId="1E66F922">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1、硬件清单DFRduino UNO  R3   1块</w:t>
      </w:r>
    </w:p>
    <w:p w14:paraId="18190B5B">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2、IO 传感器扩展板X1          1块</w:t>
      </w:r>
    </w:p>
    <w:p w14:paraId="7328A88A">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3、LED 红、黄、蓝灯模块     各 1块</w:t>
      </w:r>
    </w:p>
    <w:p w14:paraId="2AE353BB">
      <w:pPr>
        <w:rPr>
          <w:rFonts w:hint="eastAsia" w:ascii="仿宋" w:hAnsi="仿宋" w:eastAsia="仿宋" w:cs="仿宋"/>
          <w:sz w:val="24"/>
          <w:szCs w:val="24"/>
        </w:rPr>
      </w:pPr>
      <w:r>
        <w:rPr>
          <w:rFonts w:hint="eastAsia" w:ascii="仿宋" w:hAnsi="仿宋" w:eastAsia="仿宋" w:cs="仿宋"/>
          <w:sz w:val="24"/>
          <w:szCs w:val="24"/>
          <w:lang w:val="en-US" w:eastAsia="zh-CN"/>
        </w:rPr>
        <w:t>4、模拟角度传感器              1块</w:t>
      </w:r>
    </w:p>
    <w:p w14:paraId="3EB258EA">
      <w:pPr>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薄膜压力传感器</w:t>
      </w:r>
    </w:p>
    <w:p w14:paraId="6C352831">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6、杜邦线                      若干</w:t>
      </w:r>
    </w:p>
    <w:p w14:paraId="411CACC8">
      <w:pPr>
        <w:rPr>
          <w:rFonts w:hint="eastAsia" w:ascii="仿宋" w:hAnsi="仿宋" w:eastAsia="仿宋" w:cs="仿宋"/>
          <w:color w:val="auto"/>
          <w:sz w:val="24"/>
          <w:szCs w:val="24"/>
          <w:lang w:val="en-US" w:eastAsia="zh-CN"/>
        </w:rPr>
      </w:pPr>
      <w:r>
        <w:rPr>
          <w:rFonts w:hint="eastAsia" w:ascii="仿宋" w:hAnsi="仿宋" w:eastAsia="仿宋" w:cs="仿宋"/>
          <w:sz w:val="24"/>
          <w:szCs w:val="24"/>
          <w:lang w:val="en-US" w:eastAsia="zh-CN"/>
        </w:rPr>
        <w:t>7、</w:t>
      </w:r>
      <w:r>
        <w:rPr>
          <w:rFonts w:hint="eastAsia" w:ascii="仿宋" w:hAnsi="仿宋" w:eastAsia="仿宋" w:cs="仿宋"/>
          <w:sz w:val="24"/>
          <w:szCs w:val="24"/>
        </w:rPr>
        <w:t>0.96寸OLED显示屏模块</w:t>
      </w:r>
      <w:r>
        <w:rPr>
          <w:rFonts w:hint="eastAsia" w:ascii="仿宋" w:hAnsi="仿宋" w:eastAsia="仿宋" w:cs="仿宋"/>
          <w:sz w:val="24"/>
          <w:szCs w:val="24"/>
          <w:lang w:val="en-US" w:eastAsia="zh-CN"/>
        </w:rPr>
        <w:t xml:space="preserve">     1块（待选）   </w:t>
      </w:r>
      <w:r>
        <w:rPr>
          <w:rFonts w:hint="eastAsia" w:ascii="仿宋" w:hAnsi="仿宋" w:eastAsia="仿宋" w:cs="仿宋"/>
          <w:color w:val="auto"/>
          <w:sz w:val="24"/>
          <w:szCs w:val="24"/>
          <w:lang w:val="en-US" w:eastAsia="zh-CN"/>
        </w:rPr>
        <w:t xml:space="preserve">                    </w:t>
      </w:r>
    </w:p>
    <w:p w14:paraId="45C0CB56">
      <w:pPr>
        <w:widowControl w:val="0"/>
        <w:numPr>
          <w:ilvl w:val="0"/>
          <w:numId w:val="0"/>
        </w:numPr>
        <w:ind w:firstLine="420" w:firstLineChars="0"/>
        <w:jc w:val="left"/>
        <w:rPr>
          <w:rFonts w:hint="eastAsia" w:ascii="仿宋" w:hAnsi="仿宋" w:eastAsia="仿宋" w:cs="仿宋"/>
          <w:b w:val="0"/>
          <w:bCs w:val="0"/>
          <w:i w:val="0"/>
          <w:caps w:val="0"/>
          <w:color w:val="333333"/>
          <w:spacing w:val="0"/>
          <w:sz w:val="24"/>
          <w:szCs w:val="24"/>
          <w:shd w:val="clear" w:fill="FFFFFF"/>
          <w:lang w:val="en-US" w:eastAsia="zh-CN"/>
        </w:rPr>
      </w:pPr>
    </w:p>
    <w:p w14:paraId="1B4F464B">
      <w:pPr>
        <w:widowControl w:val="0"/>
        <w:numPr>
          <w:ilvl w:val="0"/>
          <w:numId w:val="0"/>
        </w:numPr>
        <w:jc w:val="center"/>
        <w:rPr>
          <w:rFonts w:hint="eastAsia" w:ascii="仿宋" w:hAnsi="仿宋" w:eastAsia="仿宋" w:cs="仿宋"/>
          <w:b w:val="0"/>
          <w:bCs w:val="0"/>
          <w:i w:val="0"/>
          <w:caps w:val="0"/>
          <w:color w:val="333333"/>
          <w:spacing w:val="0"/>
          <w:sz w:val="24"/>
          <w:szCs w:val="24"/>
          <w:shd w:val="clear" w:fill="FFFFFF"/>
          <w:lang w:val="en-US" w:eastAsia="zh-CN"/>
        </w:rPr>
      </w:pPr>
      <w:r>
        <w:rPr>
          <w:rFonts w:hint="eastAsia" w:ascii="仿宋" w:hAnsi="仿宋" w:eastAsia="仿宋" w:cs="仿宋"/>
          <w:sz w:val="24"/>
          <w:szCs w:val="24"/>
          <w:lang w:val="en-US" w:eastAsia="zh-CN"/>
        </w:rPr>
        <w:drawing>
          <wp:inline distT="0" distB="0" distL="114300" distR="114300">
            <wp:extent cx="2162175" cy="2149475"/>
            <wp:effectExtent l="0" t="0" r="9525" b="3175"/>
            <wp:docPr id="3" name="图片 3" descr="微信图片_20191209131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191209131953"/>
                    <pic:cNvPicPr>
                      <a:picLocks noChangeAspect="1"/>
                    </pic:cNvPicPr>
                  </pic:nvPicPr>
                  <pic:blipFill>
                    <a:blip r:embed="rId5"/>
                    <a:stretch>
                      <a:fillRect/>
                    </a:stretch>
                  </pic:blipFill>
                  <pic:spPr>
                    <a:xfrm>
                      <a:off x="0" y="0"/>
                      <a:ext cx="2162175" cy="2149475"/>
                    </a:xfrm>
                    <a:prstGeom prst="rect">
                      <a:avLst/>
                    </a:prstGeom>
                  </pic:spPr>
                </pic:pic>
              </a:graphicData>
            </a:graphic>
          </wp:inline>
        </w:drawing>
      </w:r>
      <w:r>
        <w:rPr>
          <w:rFonts w:hint="eastAsia" w:ascii="仿宋" w:hAnsi="仿宋" w:eastAsia="仿宋" w:cs="仿宋"/>
          <w:b w:val="0"/>
          <w:bCs w:val="0"/>
          <w:i w:val="0"/>
          <w:caps w:val="0"/>
          <w:color w:val="333333"/>
          <w:spacing w:val="0"/>
          <w:sz w:val="24"/>
          <w:szCs w:val="24"/>
          <w:shd w:val="clear" w:fill="FFFFFF"/>
          <w:lang w:val="en-US" w:eastAsia="zh-CN"/>
        </w:rPr>
        <w:t>电路连接图</w:t>
      </w:r>
    </w:p>
    <w:p w14:paraId="4BD0539E">
      <w:pPr>
        <w:widowControl w:val="0"/>
        <w:numPr>
          <w:ilvl w:val="0"/>
          <w:numId w:val="0"/>
        </w:numPr>
        <w:jc w:val="left"/>
        <w:rPr>
          <w:rFonts w:hint="eastAsia" w:ascii="仿宋" w:hAnsi="仿宋" w:eastAsia="仿宋" w:cs="仿宋"/>
          <w:b w:val="0"/>
          <w:bCs w:val="0"/>
          <w:i w:val="0"/>
          <w:caps w:val="0"/>
          <w:color w:val="333333"/>
          <w:spacing w:val="0"/>
          <w:sz w:val="24"/>
          <w:szCs w:val="24"/>
          <w:shd w:val="clear" w:fill="FFFFFF"/>
          <w:lang w:val="en-US" w:eastAsia="zh-CN"/>
        </w:rPr>
      </w:pPr>
      <w:r>
        <w:rPr>
          <w:rFonts w:hint="eastAsia" w:ascii="仿宋" w:hAnsi="仿宋" w:eastAsia="仿宋" w:cs="仿宋"/>
          <w:b w:val="0"/>
          <w:bCs w:val="0"/>
          <w:i w:val="0"/>
          <w:caps w:val="0"/>
          <w:color w:val="333333"/>
          <w:spacing w:val="0"/>
          <w:sz w:val="24"/>
          <w:szCs w:val="24"/>
          <w:shd w:val="clear" w:fill="FFFFFF"/>
          <w:lang w:val="en-US" w:eastAsia="zh-CN"/>
        </w:rPr>
        <w:drawing>
          <wp:inline distT="0" distB="0" distL="114300" distR="114300">
            <wp:extent cx="3146425" cy="5994400"/>
            <wp:effectExtent l="0" t="0" r="15875" b="6350"/>
            <wp:docPr id="5" name="图片 5" descr="微信截图_20191209212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截图_20191209212641"/>
                    <pic:cNvPicPr>
                      <a:picLocks noChangeAspect="1"/>
                    </pic:cNvPicPr>
                  </pic:nvPicPr>
                  <pic:blipFill>
                    <a:blip r:embed="rId6"/>
                    <a:stretch>
                      <a:fillRect/>
                    </a:stretch>
                  </pic:blipFill>
                  <pic:spPr>
                    <a:xfrm>
                      <a:off x="0" y="0"/>
                      <a:ext cx="3146425" cy="5994400"/>
                    </a:xfrm>
                    <a:prstGeom prst="rect">
                      <a:avLst/>
                    </a:prstGeom>
                  </pic:spPr>
                </pic:pic>
              </a:graphicData>
            </a:graphic>
          </wp:inline>
        </w:drawing>
      </w:r>
      <w:r>
        <w:rPr>
          <w:rFonts w:hint="eastAsia" w:ascii="仿宋" w:hAnsi="仿宋" w:eastAsia="仿宋" w:cs="仿宋"/>
          <w:b w:val="0"/>
          <w:bCs w:val="0"/>
          <w:i w:val="0"/>
          <w:caps w:val="0"/>
          <w:color w:val="333333"/>
          <w:spacing w:val="0"/>
          <w:sz w:val="24"/>
          <w:szCs w:val="24"/>
          <w:shd w:val="clear" w:fill="FFFFFF"/>
          <w:lang w:val="en-US" w:eastAsia="zh-CN"/>
        </w:rPr>
        <w:t>编程</w:t>
      </w:r>
    </w:p>
    <w:p w14:paraId="35FF38D6">
      <w:pPr>
        <w:ind w:firstLine="480" w:firstLineChars="200"/>
        <w:rPr>
          <w:rFonts w:hint="eastAsia" w:ascii="仿宋" w:hAnsi="仿宋" w:eastAsia="仿宋" w:cs="仿宋"/>
          <w:sz w:val="24"/>
          <w:szCs w:val="24"/>
          <w:lang w:val="en-US" w:eastAsia="zh-CN"/>
        </w:rPr>
      </w:pPr>
    </w:p>
    <w:p w14:paraId="7B05342D">
      <w:pPr>
        <w:rPr>
          <w:rFonts w:hint="eastAsia" w:ascii="仿宋" w:hAnsi="仿宋" w:eastAsia="仿宋" w:cs="仿宋"/>
          <w:sz w:val="24"/>
          <w:szCs w:val="24"/>
          <w:lang w:val="en-US" w:eastAsia="zh-CN"/>
        </w:rPr>
      </w:pPr>
      <w:r>
        <w:rPr>
          <w:rFonts w:hint="eastAsia" w:ascii="仿宋" w:hAnsi="仿宋" w:eastAsia="仿宋" w:cs="仿宋"/>
          <w:b/>
          <w:bCs/>
          <w:sz w:val="24"/>
          <w:szCs w:val="24"/>
          <w:lang w:val="en-US" w:eastAsia="zh-CN"/>
        </w:rPr>
        <w:t>环节四 制作模型 用时： 3周</w:t>
      </w:r>
    </w:p>
    <w:p w14:paraId="1ED3C099">
      <w:pPr>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将压力传感器放入鞋的后跟，用压力，验证其可行性；</w:t>
      </w:r>
    </w:p>
    <w:p w14:paraId="236EAA01">
      <w:pPr>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利用SketchUp做出该产品的3D模型再用3D打印机进行打印；</w:t>
      </w:r>
    </w:p>
    <w:p w14:paraId="13C6F636">
      <w:pPr>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根据电路图连接电路并进行试验。</w:t>
      </w:r>
    </w:p>
    <w:p w14:paraId="406F7FFC">
      <w:pPr>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drawing>
          <wp:inline distT="0" distB="0" distL="114300" distR="114300">
            <wp:extent cx="1772285" cy="1505585"/>
            <wp:effectExtent l="0" t="0" r="18415" b="18415"/>
            <wp:docPr id="9" name="图片 9" descr="顶视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顶视图"/>
                    <pic:cNvPicPr>
                      <a:picLocks noChangeAspect="1"/>
                    </pic:cNvPicPr>
                  </pic:nvPicPr>
                  <pic:blipFill>
                    <a:blip r:embed="rId7"/>
                    <a:srcRect l="16568" r="28631" b="19191"/>
                    <a:stretch>
                      <a:fillRect/>
                    </a:stretch>
                  </pic:blipFill>
                  <pic:spPr>
                    <a:xfrm>
                      <a:off x="0" y="0"/>
                      <a:ext cx="1772285" cy="1505585"/>
                    </a:xfrm>
                    <a:prstGeom prst="rect">
                      <a:avLst/>
                    </a:prstGeom>
                  </pic:spPr>
                </pic:pic>
              </a:graphicData>
            </a:graphic>
          </wp:inline>
        </w:drawing>
      </w:r>
      <w:r>
        <w:rPr>
          <w:rFonts w:hint="eastAsia" w:ascii="仿宋" w:hAnsi="仿宋" w:eastAsia="仿宋" w:cs="仿宋"/>
          <w:sz w:val="24"/>
          <w:szCs w:val="24"/>
          <w:lang w:val="en-US" w:eastAsia="zh-CN"/>
        </w:rPr>
        <w:drawing>
          <wp:inline distT="0" distB="0" distL="114300" distR="114300">
            <wp:extent cx="3153410" cy="725805"/>
            <wp:effectExtent l="0" t="0" r="8890" b="17145"/>
            <wp:docPr id="10" name="图片 10" descr="侧视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侧视图"/>
                    <pic:cNvPicPr>
                      <a:picLocks noChangeAspect="1"/>
                    </pic:cNvPicPr>
                  </pic:nvPicPr>
                  <pic:blipFill>
                    <a:blip r:embed="rId8"/>
                    <a:srcRect l="29972" t="45098" r="28682" b="38375"/>
                    <a:stretch>
                      <a:fillRect/>
                    </a:stretch>
                  </pic:blipFill>
                  <pic:spPr>
                    <a:xfrm>
                      <a:off x="0" y="0"/>
                      <a:ext cx="3153410" cy="725805"/>
                    </a:xfrm>
                    <a:prstGeom prst="rect">
                      <a:avLst/>
                    </a:prstGeom>
                  </pic:spPr>
                </pic:pic>
              </a:graphicData>
            </a:graphic>
          </wp:inline>
        </w:drawing>
      </w:r>
    </w:p>
    <w:p w14:paraId="01E5909A">
      <w:pPr>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drawing>
          <wp:inline distT="0" distB="0" distL="114300" distR="114300">
            <wp:extent cx="2479040" cy="1427480"/>
            <wp:effectExtent l="0" t="0" r="16510" b="1270"/>
            <wp:docPr id="1" name="图片 1" descr="减肥提醒鞋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减肥提醒鞋1"/>
                    <pic:cNvPicPr>
                      <a:picLocks noChangeAspect="1"/>
                    </pic:cNvPicPr>
                  </pic:nvPicPr>
                  <pic:blipFill>
                    <a:blip r:embed="rId9"/>
                    <a:stretch>
                      <a:fillRect/>
                    </a:stretch>
                  </pic:blipFill>
                  <pic:spPr>
                    <a:xfrm>
                      <a:off x="0" y="0"/>
                      <a:ext cx="2479040" cy="1427480"/>
                    </a:xfrm>
                    <a:prstGeom prst="rect">
                      <a:avLst/>
                    </a:prstGeom>
                  </pic:spPr>
                </pic:pic>
              </a:graphicData>
            </a:graphic>
          </wp:inline>
        </w:drawing>
      </w:r>
      <w:r>
        <w:rPr>
          <w:rFonts w:hint="eastAsia" w:ascii="仿宋" w:hAnsi="仿宋" w:eastAsia="仿宋" w:cs="仿宋"/>
          <w:sz w:val="24"/>
          <w:szCs w:val="24"/>
          <w:lang w:val="en-US" w:eastAsia="zh-CN"/>
        </w:rPr>
        <w:drawing>
          <wp:inline distT="0" distB="0" distL="114300" distR="114300">
            <wp:extent cx="2258695" cy="1300480"/>
            <wp:effectExtent l="0" t="0" r="8255" b="13970"/>
            <wp:docPr id="2" name="图片 2" descr="减肥提醒鞋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减肥提醒鞋3"/>
                    <pic:cNvPicPr>
                      <a:picLocks noChangeAspect="1"/>
                    </pic:cNvPicPr>
                  </pic:nvPicPr>
                  <pic:blipFill>
                    <a:blip r:embed="rId10"/>
                    <a:stretch>
                      <a:fillRect/>
                    </a:stretch>
                  </pic:blipFill>
                  <pic:spPr>
                    <a:xfrm>
                      <a:off x="0" y="0"/>
                      <a:ext cx="2258695" cy="1300480"/>
                    </a:xfrm>
                    <a:prstGeom prst="rect">
                      <a:avLst/>
                    </a:prstGeom>
                  </pic:spPr>
                </pic:pic>
              </a:graphicData>
            </a:graphic>
          </wp:inline>
        </w:drawing>
      </w:r>
    </w:p>
    <w:p w14:paraId="46CA5254">
      <w:pP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环节五 产品实践及优化 用时： 1周</w:t>
      </w:r>
    </w:p>
    <w:p w14:paraId="54089242">
      <w:pPr>
        <w:ind w:firstLine="480" w:firstLineChars="200"/>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真人实验产品，并进行多次测量测出度数减少误差，再用真实身高体重数据来进行对比，提高其精准度；对其外观进行修饰完成制作。</w:t>
      </w:r>
    </w:p>
    <w:p w14:paraId="4E8A3315">
      <w:pPr>
        <w:ind w:firstLine="480" w:firstLineChars="200"/>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drawing>
          <wp:inline distT="0" distB="0" distL="114300" distR="114300">
            <wp:extent cx="962025" cy="1705610"/>
            <wp:effectExtent l="0" t="0" r="9525" b="8890"/>
            <wp:docPr id="7" name="图片 7" descr="IMG_20191208_140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0191208_140856"/>
                    <pic:cNvPicPr>
                      <a:picLocks noChangeAspect="1"/>
                    </pic:cNvPicPr>
                  </pic:nvPicPr>
                  <pic:blipFill>
                    <a:blip r:embed="rId11"/>
                    <a:stretch>
                      <a:fillRect/>
                    </a:stretch>
                  </pic:blipFill>
                  <pic:spPr>
                    <a:xfrm>
                      <a:off x="0" y="0"/>
                      <a:ext cx="962025" cy="1705610"/>
                    </a:xfrm>
                    <a:prstGeom prst="rect">
                      <a:avLst/>
                    </a:prstGeom>
                  </pic:spPr>
                </pic:pic>
              </a:graphicData>
            </a:graphic>
          </wp:inline>
        </w:drawing>
      </w:r>
      <w:r>
        <w:rPr>
          <w:rFonts w:hint="eastAsia" w:ascii="仿宋" w:hAnsi="仿宋" w:eastAsia="仿宋" w:cs="仿宋"/>
          <w:b w:val="0"/>
          <w:bCs w:val="0"/>
          <w:sz w:val="24"/>
          <w:szCs w:val="24"/>
          <w:lang w:val="en-US" w:eastAsia="zh-CN"/>
        </w:rPr>
        <w:drawing>
          <wp:inline distT="0" distB="0" distL="114300" distR="114300">
            <wp:extent cx="3036570" cy="1714500"/>
            <wp:effectExtent l="0" t="0" r="11430" b="0"/>
            <wp:docPr id="8" name="图片 8" descr="IMG_20191208_140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20191208_140940"/>
                    <pic:cNvPicPr>
                      <a:picLocks noChangeAspect="1"/>
                    </pic:cNvPicPr>
                  </pic:nvPicPr>
                  <pic:blipFill>
                    <a:blip r:embed="rId12"/>
                    <a:stretch>
                      <a:fillRect/>
                    </a:stretch>
                  </pic:blipFill>
                  <pic:spPr>
                    <a:xfrm>
                      <a:off x="0" y="0"/>
                      <a:ext cx="3036570" cy="1714500"/>
                    </a:xfrm>
                    <a:prstGeom prst="rect">
                      <a:avLst/>
                    </a:prstGeom>
                  </pic:spPr>
                </pic:pic>
              </a:graphicData>
            </a:graphic>
          </wp:inline>
        </w:drawing>
      </w:r>
    </w:p>
    <w:p w14:paraId="1D3B578F">
      <w:pPr>
        <w:numPr>
          <w:ilvl w:val="0"/>
          <w:numId w:val="2"/>
        </w:numPr>
        <w:ind w:left="0" w:leftChars="0" w:firstLine="0" w:firstLineChars="0"/>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数据测量及计算</w:t>
      </w:r>
    </w:p>
    <w:p w14:paraId="0006FF30">
      <w:pPr>
        <w:numPr>
          <w:ilvl w:val="0"/>
          <w:numId w:val="0"/>
        </w:numP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压力传感器</w:t>
      </w:r>
    </w:p>
    <w:p w14:paraId="23C381FB">
      <w:pPr>
        <w:numPr>
          <w:ilvl w:val="0"/>
          <w:numId w:val="0"/>
        </w:numPr>
        <w:ind w:firstLine="2160" w:firstLineChars="900"/>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F=0.1V      M=(F/g)*2=0.2F</w:t>
      </w:r>
    </w:p>
    <w:tbl>
      <w:tblPr>
        <w:tblStyle w:val="6"/>
        <w:tblW w:w="4153" w:type="dxa"/>
        <w:jc w:val="center"/>
        <w:shd w:val="clear" w:color="auto" w:fill="auto"/>
        <w:tblLayout w:type="autofit"/>
        <w:tblCellMar>
          <w:top w:w="0" w:type="dxa"/>
          <w:left w:w="0" w:type="dxa"/>
          <w:bottom w:w="0" w:type="dxa"/>
          <w:right w:w="0" w:type="dxa"/>
        </w:tblCellMar>
      </w:tblPr>
      <w:tblGrid>
        <w:gridCol w:w="1536"/>
        <w:gridCol w:w="1536"/>
        <w:gridCol w:w="1081"/>
      </w:tblGrid>
      <w:tr w14:paraId="5136F0E5">
        <w:tblPrEx>
          <w:shd w:val="clear" w:color="auto" w:fill="auto"/>
          <w:tblCellMar>
            <w:top w:w="0" w:type="dxa"/>
            <w:left w:w="0" w:type="dxa"/>
            <w:bottom w:w="0" w:type="dxa"/>
            <w:right w:w="0" w:type="dxa"/>
          </w:tblCellMar>
        </w:tblPrEx>
        <w:trPr>
          <w:trHeight w:val="312" w:hRule="atLeast"/>
          <w:jc w:val="center"/>
        </w:trPr>
        <w:tc>
          <w:tcPr>
            <w:tcW w:w="1536" w:type="dxa"/>
            <w:tcBorders>
              <w:top w:val="nil"/>
              <w:left w:val="nil"/>
              <w:bottom w:val="nil"/>
              <w:right w:val="nil"/>
            </w:tcBorders>
            <w:shd w:val="clear" w:color="auto" w:fill="auto"/>
            <w:noWrap/>
            <w:tcMar>
              <w:top w:w="12" w:type="dxa"/>
              <w:left w:w="12" w:type="dxa"/>
              <w:right w:w="12" w:type="dxa"/>
            </w:tcMar>
            <w:vAlign w:val="center"/>
          </w:tcPr>
          <w:p w14:paraId="45B9B87B">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V(mv)</w:t>
            </w:r>
          </w:p>
        </w:tc>
        <w:tc>
          <w:tcPr>
            <w:tcW w:w="1536" w:type="dxa"/>
            <w:tcBorders>
              <w:top w:val="nil"/>
              <w:left w:val="nil"/>
              <w:bottom w:val="nil"/>
              <w:right w:val="nil"/>
            </w:tcBorders>
            <w:shd w:val="clear" w:color="auto" w:fill="auto"/>
            <w:noWrap/>
            <w:tcMar>
              <w:top w:w="12" w:type="dxa"/>
              <w:left w:w="12" w:type="dxa"/>
              <w:right w:w="12" w:type="dxa"/>
            </w:tcMar>
            <w:vAlign w:val="center"/>
          </w:tcPr>
          <w:p w14:paraId="06436DC3">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F(N)</w:t>
            </w:r>
          </w:p>
        </w:tc>
        <w:tc>
          <w:tcPr>
            <w:tcW w:w="1081" w:type="dxa"/>
            <w:tcBorders>
              <w:top w:val="nil"/>
              <w:left w:val="nil"/>
              <w:bottom w:val="nil"/>
              <w:right w:val="nil"/>
            </w:tcBorders>
            <w:shd w:val="clear" w:color="auto" w:fill="auto"/>
            <w:noWrap/>
            <w:tcMar>
              <w:top w:w="12" w:type="dxa"/>
              <w:left w:w="12" w:type="dxa"/>
              <w:right w:w="12" w:type="dxa"/>
            </w:tcMar>
            <w:vAlign w:val="center"/>
          </w:tcPr>
          <w:p w14:paraId="22684FEC">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M（KG)</w:t>
            </w:r>
          </w:p>
        </w:tc>
      </w:tr>
      <w:tr w14:paraId="1D657813">
        <w:tblPrEx>
          <w:shd w:val="clear" w:color="auto" w:fill="auto"/>
          <w:tblCellMar>
            <w:top w:w="0" w:type="dxa"/>
            <w:left w:w="0" w:type="dxa"/>
            <w:bottom w:w="0" w:type="dxa"/>
            <w:right w:w="0" w:type="dxa"/>
          </w:tblCellMar>
        </w:tblPrEx>
        <w:trPr>
          <w:trHeight w:val="312" w:hRule="atLeast"/>
          <w:jc w:val="center"/>
        </w:trPr>
        <w:tc>
          <w:tcPr>
            <w:tcW w:w="0" w:type="auto"/>
            <w:tcBorders>
              <w:top w:val="nil"/>
              <w:left w:val="nil"/>
              <w:bottom w:val="nil"/>
              <w:right w:val="nil"/>
            </w:tcBorders>
            <w:shd w:val="clear" w:color="auto" w:fill="auto"/>
            <w:noWrap/>
            <w:tcMar>
              <w:top w:w="12" w:type="dxa"/>
              <w:left w:w="12" w:type="dxa"/>
              <w:right w:w="12" w:type="dxa"/>
            </w:tcMar>
            <w:vAlign w:val="center"/>
          </w:tcPr>
          <w:p w14:paraId="0182C262">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2375.367</w:t>
            </w:r>
          </w:p>
        </w:tc>
        <w:tc>
          <w:tcPr>
            <w:tcW w:w="0" w:type="auto"/>
            <w:tcBorders>
              <w:top w:val="nil"/>
              <w:left w:val="nil"/>
              <w:bottom w:val="nil"/>
              <w:right w:val="nil"/>
            </w:tcBorders>
            <w:shd w:val="clear" w:color="auto" w:fill="auto"/>
            <w:noWrap/>
            <w:tcMar>
              <w:top w:w="12" w:type="dxa"/>
              <w:left w:w="12" w:type="dxa"/>
              <w:right w:w="12" w:type="dxa"/>
            </w:tcMar>
            <w:vAlign w:val="center"/>
          </w:tcPr>
          <w:p w14:paraId="4BF5E0F7">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237.537</w:t>
            </w:r>
          </w:p>
        </w:tc>
        <w:tc>
          <w:tcPr>
            <w:tcW w:w="0" w:type="auto"/>
            <w:tcBorders>
              <w:top w:val="nil"/>
              <w:left w:val="nil"/>
              <w:bottom w:val="nil"/>
              <w:right w:val="nil"/>
            </w:tcBorders>
            <w:shd w:val="clear" w:color="auto" w:fill="auto"/>
            <w:noWrap/>
            <w:tcMar>
              <w:top w:w="12" w:type="dxa"/>
              <w:left w:w="12" w:type="dxa"/>
              <w:right w:w="12" w:type="dxa"/>
            </w:tcMar>
            <w:vAlign w:val="center"/>
          </w:tcPr>
          <w:p w14:paraId="08D24801">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47.507</w:t>
            </w:r>
          </w:p>
        </w:tc>
      </w:tr>
      <w:tr w14:paraId="371438A2">
        <w:tblPrEx>
          <w:shd w:val="clear" w:color="auto" w:fill="auto"/>
          <w:tblCellMar>
            <w:top w:w="0" w:type="dxa"/>
            <w:left w:w="0" w:type="dxa"/>
            <w:bottom w:w="0" w:type="dxa"/>
            <w:right w:w="0" w:type="dxa"/>
          </w:tblCellMar>
        </w:tblPrEx>
        <w:trPr>
          <w:trHeight w:val="312" w:hRule="atLeast"/>
          <w:jc w:val="center"/>
        </w:trPr>
        <w:tc>
          <w:tcPr>
            <w:tcW w:w="0" w:type="auto"/>
            <w:tcBorders>
              <w:top w:val="nil"/>
              <w:left w:val="nil"/>
              <w:bottom w:val="nil"/>
              <w:right w:val="nil"/>
            </w:tcBorders>
            <w:shd w:val="clear" w:color="auto" w:fill="auto"/>
            <w:noWrap/>
            <w:tcMar>
              <w:top w:w="12" w:type="dxa"/>
              <w:left w:w="12" w:type="dxa"/>
              <w:right w:w="12" w:type="dxa"/>
            </w:tcMar>
            <w:vAlign w:val="center"/>
          </w:tcPr>
          <w:p w14:paraId="5F3E3EC0">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2668.622</w:t>
            </w:r>
          </w:p>
        </w:tc>
        <w:tc>
          <w:tcPr>
            <w:tcW w:w="0" w:type="auto"/>
            <w:tcBorders>
              <w:top w:val="nil"/>
              <w:left w:val="nil"/>
              <w:bottom w:val="nil"/>
              <w:right w:val="nil"/>
            </w:tcBorders>
            <w:shd w:val="clear" w:color="auto" w:fill="auto"/>
            <w:noWrap/>
            <w:tcMar>
              <w:top w:w="12" w:type="dxa"/>
              <w:left w:w="12" w:type="dxa"/>
              <w:right w:w="12" w:type="dxa"/>
            </w:tcMar>
            <w:vAlign w:val="center"/>
          </w:tcPr>
          <w:p w14:paraId="7661052C">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266.862</w:t>
            </w:r>
          </w:p>
        </w:tc>
        <w:tc>
          <w:tcPr>
            <w:tcW w:w="0" w:type="auto"/>
            <w:tcBorders>
              <w:top w:val="nil"/>
              <w:left w:val="nil"/>
              <w:bottom w:val="nil"/>
              <w:right w:val="nil"/>
            </w:tcBorders>
            <w:shd w:val="clear" w:color="auto" w:fill="auto"/>
            <w:noWrap/>
            <w:tcMar>
              <w:top w:w="12" w:type="dxa"/>
              <w:left w:w="12" w:type="dxa"/>
              <w:right w:w="12" w:type="dxa"/>
            </w:tcMar>
            <w:vAlign w:val="center"/>
          </w:tcPr>
          <w:p w14:paraId="6DAE8DDA">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53.372</w:t>
            </w:r>
          </w:p>
        </w:tc>
      </w:tr>
      <w:tr w14:paraId="3D8DFD8D">
        <w:tblPrEx>
          <w:shd w:val="clear" w:color="auto" w:fill="auto"/>
          <w:tblCellMar>
            <w:top w:w="0" w:type="dxa"/>
            <w:left w:w="0" w:type="dxa"/>
            <w:bottom w:w="0" w:type="dxa"/>
            <w:right w:w="0" w:type="dxa"/>
          </w:tblCellMar>
        </w:tblPrEx>
        <w:trPr>
          <w:trHeight w:val="312" w:hRule="atLeast"/>
          <w:jc w:val="center"/>
        </w:trPr>
        <w:tc>
          <w:tcPr>
            <w:tcW w:w="0" w:type="auto"/>
            <w:tcBorders>
              <w:top w:val="nil"/>
              <w:left w:val="nil"/>
              <w:bottom w:val="nil"/>
              <w:right w:val="nil"/>
            </w:tcBorders>
            <w:shd w:val="clear" w:color="auto" w:fill="auto"/>
            <w:noWrap/>
            <w:tcMar>
              <w:top w:w="12" w:type="dxa"/>
              <w:left w:w="12" w:type="dxa"/>
              <w:right w:w="12" w:type="dxa"/>
            </w:tcMar>
            <w:vAlign w:val="center"/>
          </w:tcPr>
          <w:p w14:paraId="5D8EC9F5">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2561.095</w:t>
            </w:r>
          </w:p>
        </w:tc>
        <w:tc>
          <w:tcPr>
            <w:tcW w:w="0" w:type="auto"/>
            <w:tcBorders>
              <w:top w:val="nil"/>
              <w:left w:val="nil"/>
              <w:bottom w:val="nil"/>
              <w:right w:val="nil"/>
            </w:tcBorders>
            <w:shd w:val="clear" w:color="auto" w:fill="auto"/>
            <w:noWrap/>
            <w:tcMar>
              <w:top w:w="12" w:type="dxa"/>
              <w:left w:w="12" w:type="dxa"/>
              <w:right w:w="12" w:type="dxa"/>
            </w:tcMar>
            <w:vAlign w:val="center"/>
          </w:tcPr>
          <w:p w14:paraId="3529E4D2">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256.109</w:t>
            </w:r>
          </w:p>
        </w:tc>
        <w:tc>
          <w:tcPr>
            <w:tcW w:w="0" w:type="auto"/>
            <w:tcBorders>
              <w:top w:val="nil"/>
              <w:left w:val="nil"/>
              <w:bottom w:val="nil"/>
              <w:right w:val="nil"/>
            </w:tcBorders>
            <w:shd w:val="clear" w:color="auto" w:fill="auto"/>
            <w:noWrap/>
            <w:tcMar>
              <w:top w:w="12" w:type="dxa"/>
              <w:left w:w="12" w:type="dxa"/>
              <w:right w:w="12" w:type="dxa"/>
            </w:tcMar>
            <w:vAlign w:val="center"/>
          </w:tcPr>
          <w:p w14:paraId="388DDA90">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51.222</w:t>
            </w:r>
          </w:p>
        </w:tc>
      </w:tr>
      <w:tr w14:paraId="532D7046">
        <w:tblPrEx>
          <w:shd w:val="clear" w:color="auto" w:fill="auto"/>
          <w:tblCellMar>
            <w:top w:w="0" w:type="dxa"/>
            <w:left w:w="0" w:type="dxa"/>
            <w:bottom w:w="0" w:type="dxa"/>
            <w:right w:w="0" w:type="dxa"/>
          </w:tblCellMar>
        </w:tblPrEx>
        <w:trPr>
          <w:trHeight w:val="312" w:hRule="atLeast"/>
          <w:jc w:val="center"/>
        </w:trPr>
        <w:tc>
          <w:tcPr>
            <w:tcW w:w="0" w:type="auto"/>
            <w:tcBorders>
              <w:top w:val="nil"/>
              <w:left w:val="nil"/>
              <w:bottom w:val="nil"/>
              <w:right w:val="nil"/>
            </w:tcBorders>
            <w:shd w:val="clear" w:color="auto" w:fill="auto"/>
            <w:noWrap/>
            <w:tcMar>
              <w:top w:w="12" w:type="dxa"/>
              <w:left w:w="12" w:type="dxa"/>
              <w:right w:w="12" w:type="dxa"/>
            </w:tcMar>
            <w:vAlign w:val="center"/>
          </w:tcPr>
          <w:p w14:paraId="655C35A3">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3592.375</w:t>
            </w:r>
          </w:p>
        </w:tc>
        <w:tc>
          <w:tcPr>
            <w:tcW w:w="0" w:type="auto"/>
            <w:tcBorders>
              <w:top w:val="nil"/>
              <w:left w:val="nil"/>
              <w:bottom w:val="nil"/>
              <w:right w:val="nil"/>
            </w:tcBorders>
            <w:shd w:val="clear" w:color="auto" w:fill="auto"/>
            <w:noWrap/>
            <w:tcMar>
              <w:top w:w="12" w:type="dxa"/>
              <w:left w:w="12" w:type="dxa"/>
              <w:right w:w="12" w:type="dxa"/>
            </w:tcMar>
            <w:vAlign w:val="center"/>
          </w:tcPr>
          <w:p w14:paraId="5537D06B">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359.238</w:t>
            </w:r>
          </w:p>
        </w:tc>
        <w:tc>
          <w:tcPr>
            <w:tcW w:w="0" w:type="auto"/>
            <w:tcBorders>
              <w:top w:val="nil"/>
              <w:left w:val="nil"/>
              <w:bottom w:val="nil"/>
              <w:right w:val="nil"/>
            </w:tcBorders>
            <w:shd w:val="clear" w:color="auto" w:fill="auto"/>
            <w:noWrap/>
            <w:tcMar>
              <w:top w:w="12" w:type="dxa"/>
              <w:left w:w="12" w:type="dxa"/>
              <w:right w:w="12" w:type="dxa"/>
            </w:tcMar>
            <w:vAlign w:val="center"/>
          </w:tcPr>
          <w:p w14:paraId="12B3DF71">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71.848</w:t>
            </w:r>
          </w:p>
        </w:tc>
      </w:tr>
      <w:tr w14:paraId="4EED8F7F">
        <w:tblPrEx>
          <w:shd w:val="clear" w:color="auto" w:fill="auto"/>
          <w:tblCellMar>
            <w:top w:w="0" w:type="dxa"/>
            <w:left w:w="0" w:type="dxa"/>
            <w:bottom w:w="0" w:type="dxa"/>
            <w:right w:w="0" w:type="dxa"/>
          </w:tblCellMar>
        </w:tblPrEx>
        <w:trPr>
          <w:trHeight w:val="312" w:hRule="atLeast"/>
          <w:jc w:val="center"/>
        </w:trPr>
        <w:tc>
          <w:tcPr>
            <w:tcW w:w="0" w:type="auto"/>
            <w:tcBorders>
              <w:top w:val="nil"/>
              <w:left w:val="nil"/>
              <w:bottom w:val="nil"/>
              <w:right w:val="nil"/>
            </w:tcBorders>
            <w:shd w:val="clear" w:color="auto" w:fill="auto"/>
            <w:noWrap/>
            <w:tcMar>
              <w:top w:w="12" w:type="dxa"/>
              <w:left w:w="12" w:type="dxa"/>
              <w:right w:w="12" w:type="dxa"/>
            </w:tcMar>
            <w:vAlign w:val="center"/>
          </w:tcPr>
          <w:p w14:paraId="75B8A060">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2658.847</w:t>
            </w:r>
          </w:p>
        </w:tc>
        <w:tc>
          <w:tcPr>
            <w:tcW w:w="0" w:type="auto"/>
            <w:tcBorders>
              <w:top w:val="nil"/>
              <w:left w:val="nil"/>
              <w:bottom w:val="nil"/>
              <w:right w:val="nil"/>
            </w:tcBorders>
            <w:shd w:val="clear" w:color="auto" w:fill="auto"/>
            <w:noWrap/>
            <w:tcMar>
              <w:top w:w="12" w:type="dxa"/>
              <w:left w:w="12" w:type="dxa"/>
              <w:right w:w="12" w:type="dxa"/>
            </w:tcMar>
            <w:vAlign w:val="center"/>
          </w:tcPr>
          <w:p w14:paraId="21CAAE11">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265.885</w:t>
            </w:r>
          </w:p>
        </w:tc>
        <w:tc>
          <w:tcPr>
            <w:tcW w:w="0" w:type="auto"/>
            <w:tcBorders>
              <w:top w:val="nil"/>
              <w:left w:val="nil"/>
              <w:bottom w:val="nil"/>
              <w:right w:val="nil"/>
            </w:tcBorders>
            <w:shd w:val="clear" w:color="auto" w:fill="auto"/>
            <w:noWrap/>
            <w:tcMar>
              <w:top w:w="12" w:type="dxa"/>
              <w:left w:w="12" w:type="dxa"/>
              <w:right w:w="12" w:type="dxa"/>
            </w:tcMar>
            <w:vAlign w:val="center"/>
          </w:tcPr>
          <w:p w14:paraId="534B6A84">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53.177</w:t>
            </w:r>
          </w:p>
        </w:tc>
      </w:tr>
      <w:tr w14:paraId="023E7F12">
        <w:tblPrEx>
          <w:shd w:val="clear" w:color="auto" w:fill="auto"/>
          <w:tblCellMar>
            <w:top w:w="0" w:type="dxa"/>
            <w:left w:w="0" w:type="dxa"/>
            <w:bottom w:w="0" w:type="dxa"/>
            <w:right w:w="0" w:type="dxa"/>
          </w:tblCellMar>
        </w:tblPrEx>
        <w:trPr>
          <w:trHeight w:val="312" w:hRule="atLeast"/>
          <w:jc w:val="center"/>
        </w:trPr>
        <w:tc>
          <w:tcPr>
            <w:tcW w:w="0" w:type="auto"/>
            <w:tcBorders>
              <w:top w:val="nil"/>
              <w:left w:val="nil"/>
              <w:bottom w:val="nil"/>
              <w:right w:val="nil"/>
            </w:tcBorders>
            <w:shd w:val="clear" w:color="auto" w:fill="auto"/>
            <w:noWrap/>
            <w:tcMar>
              <w:top w:w="12" w:type="dxa"/>
              <w:left w:w="12" w:type="dxa"/>
              <w:right w:w="12" w:type="dxa"/>
            </w:tcMar>
            <w:vAlign w:val="center"/>
          </w:tcPr>
          <w:p w14:paraId="4247F5C2">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2091.887</w:t>
            </w:r>
          </w:p>
        </w:tc>
        <w:tc>
          <w:tcPr>
            <w:tcW w:w="0" w:type="auto"/>
            <w:tcBorders>
              <w:top w:val="nil"/>
              <w:left w:val="nil"/>
              <w:bottom w:val="nil"/>
              <w:right w:val="nil"/>
            </w:tcBorders>
            <w:shd w:val="clear" w:color="auto" w:fill="auto"/>
            <w:noWrap/>
            <w:tcMar>
              <w:top w:w="12" w:type="dxa"/>
              <w:left w:w="12" w:type="dxa"/>
              <w:right w:w="12" w:type="dxa"/>
            </w:tcMar>
            <w:vAlign w:val="center"/>
          </w:tcPr>
          <w:p w14:paraId="65E9B5BC">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209.189</w:t>
            </w:r>
          </w:p>
        </w:tc>
        <w:tc>
          <w:tcPr>
            <w:tcW w:w="0" w:type="auto"/>
            <w:tcBorders>
              <w:top w:val="nil"/>
              <w:left w:val="nil"/>
              <w:bottom w:val="nil"/>
              <w:right w:val="nil"/>
            </w:tcBorders>
            <w:shd w:val="clear" w:color="auto" w:fill="auto"/>
            <w:noWrap/>
            <w:tcMar>
              <w:top w:w="12" w:type="dxa"/>
              <w:left w:w="12" w:type="dxa"/>
              <w:right w:w="12" w:type="dxa"/>
            </w:tcMar>
            <w:vAlign w:val="center"/>
          </w:tcPr>
          <w:p w14:paraId="7A5B4D35">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41.838</w:t>
            </w:r>
          </w:p>
        </w:tc>
      </w:tr>
      <w:tr w14:paraId="072C99BC">
        <w:tblPrEx>
          <w:shd w:val="clear" w:color="auto" w:fill="auto"/>
          <w:tblCellMar>
            <w:top w:w="0" w:type="dxa"/>
            <w:left w:w="0" w:type="dxa"/>
            <w:bottom w:w="0" w:type="dxa"/>
            <w:right w:w="0" w:type="dxa"/>
          </w:tblCellMar>
        </w:tblPrEx>
        <w:trPr>
          <w:trHeight w:val="312" w:hRule="atLeast"/>
          <w:jc w:val="center"/>
        </w:trPr>
        <w:tc>
          <w:tcPr>
            <w:tcW w:w="0" w:type="auto"/>
            <w:tcBorders>
              <w:top w:val="nil"/>
              <w:left w:val="nil"/>
              <w:bottom w:val="nil"/>
              <w:right w:val="nil"/>
            </w:tcBorders>
            <w:shd w:val="clear" w:color="auto" w:fill="auto"/>
            <w:noWrap/>
            <w:tcMar>
              <w:top w:w="12" w:type="dxa"/>
              <w:left w:w="12" w:type="dxa"/>
              <w:right w:w="12" w:type="dxa"/>
            </w:tcMar>
            <w:vAlign w:val="center"/>
          </w:tcPr>
          <w:p w14:paraId="6624389B">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3802.542</w:t>
            </w:r>
          </w:p>
        </w:tc>
        <w:tc>
          <w:tcPr>
            <w:tcW w:w="0" w:type="auto"/>
            <w:tcBorders>
              <w:top w:val="nil"/>
              <w:left w:val="nil"/>
              <w:bottom w:val="nil"/>
              <w:right w:val="nil"/>
            </w:tcBorders>
            <w:shd w:val="clear" w:color="auto" w:fill="auto"/>
            <w:noWrap/>
            <w:tcMar>
              <w:top w:w="12" w:type="dxa"/>
              <w:left w:w="12" w:type="dxa"/>
              <w:right w:w="12" w:type="dxa"/>
            </w:tcMar>
            <w:vAlign w:val="center"/>
          </w:tcPr>
          <w:p w14:paraId="2FA1AA50">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380.254</w:t>
            </w:r>
          </w:p>
        </w:tc>
        <w:tc>
          <w:tcPr>
            <w:tcW w:w="0" w:type="auto"/>
            <w:tcBorders>
              <w:top w:val="nil"/>
              <w:left w:val="nil"/>
              <w:bottom w:val="nil"/>
              <w:right w:val="nil"/>
            </w:tcBorders>
            <w:shd w:val="clear" w:color="auto" w:fill="auto"/>
            <w:noWrap/>
            <w:tcMar>
              <w:top w:w="12" w:type="dxa"/>
              <w:left w:w="12" w:type="dxa"/>
              <w:right w:w="12" w:type="dxa"/>
            </w:tcMar>
            <w:vAlign w:val="center"/>
          </w:tcPr>
          <w:p w14:paraId="4D01F62E">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76.051</w:t>
            </w:r>
          </w:p>
        </w:tc>
      </w:tr>
      <w:tr w14:paraId="05D50D6A">
        <w:tblPrEx>
          <w:shd w:val="clear" w:color="auto" w:fill="auto"/>
          <w:tblCellMar>
            <w:top w:w="0" w:type="dxa"/>
            <w:left w:w="0" w:type="dxa"/>
            <w:bottom w:w="0" w:type="dxa"/>
            <w:right w:w="0" w:type="dxa"/>
          </w:tblCellMar>
        </w:tblPrEx>
        <w:trPr>
          <w:trHeight w:val="312" w:hRule="atLeast"/>
          <w:jc w:val="center"/>
        </w:trPr>
        <w:tc>
          <w:tcPr>
            <w:tcW w:w="0" w:type="auto"/>
            <w:tcBorders>
              <w:top w:val="nil"/>
              <w:left w:val="nil"/>
              <w:bottom w:val="nil"/>
              <w:right w:val="nil"/>
            </w:tcBorders>
            <w:shd w:val="clear" w:color="auto" w:fill="auto"/>
            <w:noWrap/>
            <w:tcMar>
              <w:top w:w="12" w:type="dxa"/>
              <w:left w:w="12" w:type="dxa"/>
              <w:right w:w="12" w:type="dxa"/>
            </w:tcMar>
            <w:vAlign w:val="center"/>
          </w:tcPr>
          <w:p w14:paraId="5086BD82">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2800.587</w:t>
            </w:r>
          </w:p>
        </w:tc>
        <w:tc>
          <w:tcPr>
            <w:tcW w:w="0" w:type="auto"/>
            <w:tcBorders>
              <w:top w:val="nil"/>
              <w:left w:val="nil"/>
              <w:bottom w:val="nil"/>
              <w:right w:val="nil"/>
            </w:tcBorders>
            <w:shd w:val="clear" w:color="auto" w:fill="auto"/>
            <w:noWrap/>
            <w:tcMar>
              <w:top w:w="12" w:type="dxa"/>
              <w:left w:w="12" w:type="dxa"/>
              <w:right w:w="12" w:type="dxa"/>
            </w:tcMar>
            <w:vAlign w:val="center"/>
          </w:tcPr>
          <w:p w14:paraId="1C6F7329">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280.059</w:t>
            </w:r>
          </w:p>
        </w:tc>
        <w:tc>
          <w:tcPr>
            <w:tcW w:w="0" w:type="auto"/>
            <w:tcBorders>
              <w:top w:val="nil"/>
              <w:left w:val="nil"/>
              <w:bottom w:val="nil"/>
              <w:right w:val="nil"/>
            </w:tcBorders>
            <w:shd w:val="clear" w:color="auto" w:fill="auto"/>
            <w:noWrap/>
            <w:tcMar>
              <w:top w:w="12" w:type="dxa"/>
              <w:left w:w="12" w:type="dxa"/>
              <w:right w:w="12" w:type="dxa"/>
            </w:tcMar>
            <w:vAlign w:val="center"/>
          </w:tcPr>
          <w:p w14:paraId="52C85803">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56.012</w:t>
            </w:r>
          </w:p>
        </w:tc>
      </w:tr>
      <w:tr w14:paraId="5E08C699">
        <w:tblPrEx>
          <w:shd w:val="clear" w:color="auto" w:fill="auto"/>
          <w:tblCellMar>
            <w:top w:w="0" w:type="dxa"/>
            <w:left w:w="0" w:type="dxa"/>
            <w:bottom w:w="0" w:type="dxa"/>
            <w:right w:w="0" w:type="dxa"/>
          </w:tblCellMar>
        </w:tblPrEx>
        <w:trPr>
          <w:trHeight w:val="312" w:hRule="atLeast"/>
          <w:jc w:val="center"/>
        </w:trPr>
        <w:tc>
          <w:tcPr>
            <w:tcW w:w="0" w:type="auto"/>
            <w:tcBorders>
              <w:top w:val="nil"/>
              <w:left w:val="nil"/>
              <w:bottom w:val="nil"/>
              <w:right w:val="nil"/>
            </w:tcBorders>
            <w:shd w:val="clear" w:color="auto" w:fill="auto"/>
            <w:noWrap/>
            <w:tcMar>
              <w:top w:w="12" w:type="dxa"/>
              <w:left w:w="12" w:type="dxa"/>
              <w:right w:w="12" w:type="dxa"/>
            </w:tcMar>
            <w:vAlign w:val="center"/>
          </w:tcPr>
          <w:p w14:paraId="52226B03">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2751.711</w:t>
            </w:r>
          </w:p>
        </w:tc>
        <w:tc>
          <w:tcPr>
            <w:tcW w:w="0" w:type="auto"/>
            <w:tcBorders>
              <w:top w:val="nil"/>
              <w:left w:val="nil"/>
              <w:bottom w:val="nil"/>
              <w:right w:val="nil"/>
            </w:tcBorders>
            <w:shd w:val="clear" w:color="auto" w:fill="auto"/>
            <w:noWrap/>
            <w:tcMar>
              <w:top w:w="12" w:type="dxa"/>
              <w:left w:w="12" w:type="dxa"/>
              <w:right w:w="12" w:type="dxa"/>
            </w:tcMar>
            <w:vAlign w:val="center"/>
          </w:tcPr>
          <w:p w14:paraId="7A62CC59">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275.171</w:t>
            </w:r>
          </w:p>
        </w:tc>
        <w:tc>
          <w:tcPr>
            <w:tcW w:w="0" w:type="auto"/>
            <w:tcBorders>
              <w:top w:val="nil"/>
              <w:left w:val="nil"/>
              <w:bottom w:val="nil"/>
              <w:right w:val="nil"/>
            </w:tcBorders>
            <w:shd w:val="clear" w:color="auto" w:fill="auto"/>
            <w:noWrap/>
            <w:tcMar>
              <w:top w:w="12" w:type="dxa"/>
              <w:left w:w="12" w:type="dxa"/>
              <w:right w:w="12" w:type="dxa"/>
            </w:tcMar>
            <w:vAlign w:val="center"/>
          </w:tcPr>
          <w:p w14:paraId="6614AC54">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55.034</w:t>
            </w:r>
          </w:p>
        </w:tc>
      </w:tr>
      <w:tr w14:paraId="230D1322">
        <w:tblPrEx>
          <w:shd w:val="clear" w:color="auto" w:fill="auto"/>
          <w:tblCellMar>
            <w:top w:w="0" w:type="dxa"/>
            <w:left w:w="0" w:type="dxa"/>
            <w:bottom w:w="0" w:type="dxa"/>
            <w:right w:w="0" w:type="dxa"/>
          </w:tblCellMar>
        </w:tblPrEx>
        <w:trPr>
          <w:trHeight w:val="312" w:hRule="atLeast"/>
          <w:jc w:val="center"/>
        </w:trPr>
        <w:tc>
          <w:tcPr>
            <w:tcW w:w="0" w:type="auto"/>
            <w:tcBorders>
              <w:top w:val="nil"/>
              <w:left w:val="nil"/>
              <w:bottom w:val="nil"/>
              <w:right w:val="nil"/>
            </w:tcBorders>
            <w:shd w:val="clear" w:color="auto" w:fill="auto"/>
            <w:noWrap/>
            <w:tcMar>
              <w:top w:w="12" w:type="dxa"/>
              <w:left w:w="12" w:type="dxa"/>
              <w:right w:w="12" w:type="dxa"/>
            </w:tcMar>
            <w:vAlign w:val="center"/>
          </w:tcPr>
          <w:p w14:paraId="2B0DFB57">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2336.266</w:t>
            </w:r>
          </w:p>
        </w:tc>
        <w:tc>
          <w:tcPr>
            <w:tcW w:w="0" w:type="auto"/>
            <w:tcBorders>
              <w:top w:val="nil"/>
              <w:left w:val="nil"/>
              <w:bottom w:val="nil"/>
              <w:right w:val="nil"/>
            </w:tcBorders>
            <w:shd w:val="clear" w:color="auto" w:fill="auto"/>
            <w:noWrap/>
            <w:tcMar>
              <w:top w:w="12" w:type="dxa"/>
              <w:left w:w="12" w:type="dxa"/>
              <w:right w:w="12" w:type="dxa"/>
            </w:tcMar>
            <w:vAlign w:val="center"/>
          </w:tcPr>
          <w:p w14:paraId="74290A7F">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233.627</w:t>
            </w:r>
          </w:p>
        </w:tc>
        <w:tc>
          <w:tcPr>
            <w:tcW w:w="0" w:type="auto"/>
            <w:tcBorders>
              <w:top w:val="nil"/>
              <w:left w:val="nil"/>
              <w:bottom w:val="nil"/>
              <w:right w:val="nil"/>
            </w:tcBorders>
            <w:shd w:val="clear" w:color="auto" w:fill="auto"/>
            <w:noWrap/>
            <w:tcMar>
              <w:top w:w="12" w:type="dxa"/>
              <w:left w:w="12" w:type="dxa"/>
              <w:right w:w="12" w:type="dxa"/>
            </w:tcMar>
            <w:vAlign w:val="center"/>
          </w:tcPr>
          <w:p w14:paraId="6D7B651E">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46.725</w:t>
            </w:r>
          </w:p>
        </w:tc>
      </w:tr>
      <w:tr w14:paraId="0DDE8648">
        <w:tblPrEx>
          <w:shd w:val="clear" w:color="auto" w:fill="auto"/>
          <w:tblCellMar>
            <w:top w:w="0" w:type="dxa"/>
            <w:left w:w="0" w:type="dxa"/>
            <w:bottom w:w="0" w:type="dxa"/>
            <w:right w:w="0" w:type="dxa"/>
          </w:tblCellMar>
        </w:tblPrEx>
        <w:trPr>
          <w:trHeight w:val="312" w:hRule="atLeast"/>
          <w:jc w:val="center"/>
        </w:trPr>
        <w:tc>
          <w:tcPr>
            <w:tcW w:w="0" w:type="auto"/>
            <w:tcBorders>
              <w:top w:val="nil"/>
              <w:left w:val="nil"/>
              <w:bottom w:val="nil"/>
              <w:right w:val="nil"/>
            </w:tcBorders>
            <w:shd w:val="clear" w:color="auto" w:fill="auto"/>
            <w:noWrap/>
            <w:tcMar>
              <w:top w:w="12" w:type="dxa"/>
              <w:left w:w="12" w:type="dxa"/>
              <w:right w:w="12" w:type="dxa"/>
            </w:tcMar>
            <w:vAlign w:val="center"/>
          </w:tcPr>
          <w:p w14:paraId="6B4A5961">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2517.107</w:t>
            </w:r>
          </w:p>
        </w:tc>
        <w:tc>
          <w:tcPr>
            <w:tcW w:w="0" w:type="auto"/>
            <w:tcBorders>
              <w:top w:val="nil"/>
              <w:left w:val="nil"/>
              <w:bottom w:val="nil"/>
              <w:right w:val="nil"/>
            </w:tcBorders>
            <w:shd w:val="clear" w:color="auto" w:fill="auto"/>
            <w:noWrap/>
            <w:tcMar>
              <w:top w:w="12" w:type="dxa"/>
              <w:left w:w="12" w:type="dxa"/>
              <w:right w:w="12" w:type="dxa"/>
            </w:tcMar>
            <w:vAlign w:val="center"/>
          </w:tcPr>
          <w:p w14:paraId="753DF090">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251.711</w:t>
            </w:r>
          </w:p>
        </w:tc>
        <w:tc>
          <w:tcPr>
            <w:tcW w:w="0" w:type="auto"/>
            <w:tcBorders>
              <w:top w:val="nil"/>
              <w:left w:val="nil"/>
              <w:bottom w:val="nil"/>
              <w:right w:val="nil"/>
            </w:tcBorders>
            <w:shd w:val="clear" w:color="auto" w:fill="auto"/>
            <w:noWrap/>
            <w:tcMar>
              <w:top w:w="12" w:type="dxa"/>
              <w:left w:w="12" w:type="dxa"/>
              <w:right w:w="12" w:type="dxa"/>
            </w:tcMar>
            <w:vAlign w:val="center"/>
          </w:tcPr>
          <w:p w14:paraId="07B45075">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50.342</w:t>
            </w:r>
          </w:p>
        </w:tc>
      </w:tr>
      <w:tr w14:paraId="077C6D51">
        <w:tblPrEx>
          <w:shd w:val="clear" w:color="auto" w:fill="auto"/>
          <w:tblCellMar>
            <w:top w:w="0" w:type="dxa"/>
            <w:left w:w="0" w:type="dxa"/>
            <w:bottom w:w="0" w:type="dxa"/>
            <w:right w:w="0" w:type="dxa"/>
          </w:tblCellMar>
        </w:tblPrEx>
        <w:trPr>
          <w:trHeight w:val="312" w:hRule="atLeast"/>
          <w:jc w:val="center"/>
        </w:trPr>
        <w:tc>
          <w:tcPr>
            <w:tcW w:w="0" w:type="auto"/>
            <w:tcBorders>
              <w:top w:val="nil"/>
              <w:left w:val="nil"/>
              <w:bottom w:val="nil"/>
              <w:right w:val="nil"/>
            </w:tcBorders>
            <w:shd w:val="clear" w:color="auto" w:fill="auto"/>
            <w:noWrap/>
            <w:tcMar>
              <w:top w:w="12" w:type="dxa"/>
              <w:left w:w="12" w:type="dxa"/>
              <w:right w:w="12" w:type="dxa"/>
            </w:tcMar>
            <w:vAlign w:val="center"/>
          </w:tcPr>
          <w:p w14:paraId="50FA623F">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3709.677</w:t>
            </w:r>
          </w:p>
        </w:tc>
        <w:tc>
          <w:tcPr>
            <w:tcW w:w="0" w:type="auto"/>
            <w:tcBorders>
              <w:top w:val="nil"/>
              <w:left w:val="nil"/>
              <w:bottom w:val="nil"/>
              <w:right w:val="nil"/>
            </w:tcBorders>
            <w:shd w:val="clear" w:color="auto" w:fill="auto"/>
            <w:noWrap/>
            <w:tcMar>
              <w:top w:w="12" w:type="dxa"/>
              <w:left w:w="12" w:type="dxa"/>
              <w:right w:w="12" w:type="dxa"/>
            </w:tcMar>
            <w:vAlign w:val="center"/>
          </w:tcPr>
          <w:p w14:paraId="27EDFFE9">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370.968</w:t>
            </w:r>
          </w:p>
        </w:tc>
        <w:tc>
          <w:tcPr>
            <w:tcW w:w="0" w:type="auto"/>
            <w:tcBorders>
              <w:top w:val="nil"/>
              <w:left w:val="nil"/>
              <w:bottom w:val="nil"/>
              <w:right w:val="nil"/>
            </w:tcBorders>
            <w:shd w:val="clear" w:color="auto" w:fill="auto"/>
            <w:noWrap/>
            <w:tcMar>
              <w:top w:w="12" w:type="dxa"/>
              <w:left w:w="12" w:type="dxa"/>
              <w:right w:w="12" w:type="dxa"/>
            </w:tcMar>
            <w:vAlign w:val="center"/>
          </w:tcPr>
          <w:p w14:paraId="6C0B13B8">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74.194</w:t>
            </w:r>
          </w:p>
        </w:tc>
      </w:tr>
      <w:tr w14:paraId="71E584DB">
        <w:tblPrEx>
          <w:shd w:val="clear" w:color="auto" w:fill="auto"/>
          <w:tblCellMar>
            <w:top w:w="0" w:type="dxa"/>
            <w:left w:w="0" w:type="dxa"/>
            <w:bottom w:w="0" w:type="dxa"/>
            <w:right w:w="0" w:type="dxa"/>
          </w:tblCellMar>
        </w:tblPrEx>
        <w:trPr>
          <w:trHeight w:val="312" w:hRule="atLeast"/>
          <w:jc w:val="center"/>
        </w:trPr>
        <w:tc>
          <w:tcPr>
            <w:tcW w:w="0" w:type="auto"/>
            <w:tcBorders>
              <w:top w:val="nil"/>
              <w:left w:val="nil"/>
              <w:bottom w:val="nil"/>
              <w:right w:val="nil"/>
            </w:tcBorders>
            <w:shd w:val="clear" w:color="auto" w:fill="auto"/>
            <w:noWrap/>
            <w:tcMar>
              <w:top w:w="12" w:type="dxa"/>
              <w:left w:w="12" w:type="dxa"/>
              <w:right w:w="12" w:type="dxa"/>
            </w:tcMar>
            <w:vAlign w:val="center"/>
          </w:tcPr>
          <w:p w14:paraId="3F4F89E3">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2727.273</w:t>
            </w:r>
          </w:p>
        </w:tc>
        <w:tc>
          <w:tcPr>
            <w:tcW w:w="0" w:type="auto"/>
            <w:tcBorders>
              <w:top w:val="nil"/>
              <w:left w:val="nil"/>
              <w:bottom w:val="nil"/>
              <w:right w:val="nil"/>
            </w:tcBorders>
            <w:shd w:val="clear" w:color="auto" w:fill="auto"/>
            <w:noWrap/>
            <w:tcMar>
              <w:top w:w="12" w:type="dxa"/>
              <w:left w:w="12" w:type="dxa"/>
              <w:right w:w="12" w:type="dxa"/>
            </w:tcMar>
            <w:vAlign w:val="center"/>
          </w:tcPr>
          <w:p w14:paraId="0D957CD9">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272.727</w:t>
            </w:r>
          </w:p>
        </w:tc>
        <w:tc>
          <w:tcPr>
            <w:tcW w:w="0" w:type="auto"/>
            <w:tcBorders>
              <w:top w:val="nil"/>
              <w:left w:val="nil"/>
              <w:bottom w:val="nil"/>
              <w:right w:val="nil"/>
            </w:tcBorders>
            <w:shd w:val="clear" w:color="auto" w:fill="auto"/>
            <w:noWrap/>
            <w:tcMar>
              <w:top w:w="12" w:type="dxa"/>
              <w:left w:w="12" w:type="dxa"/>
              <w:right w:w="12" w:type="dxa"/>
            </w:tcMar>
            <w:vAlign w:val="center"/>
          </w:tcPr>
          <w:p w14:paraId="49524F7E">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54.545</w:t>
            </w:r>
          </w:p>
        </w:tc>
      </w:tr>
      <w:tr w14:paraId="0847D0F4">
        <w:tblPrEx>
          <w:shd w:val="clear" w:color="auto" w:fill="auto"/>
          <w:tblCellMar>
            <w:top w:w="0" w:type="dxa"/>
            <w:left w:w="0" w:type="dxa"/>
            <w:bottom w:w="0" w:type="dxa"/>
            <w:right w:w="0" w:type="dxa"/>
          </w:tblCellMar>
        </w:tblPrEx>
        <w:trPr>
          <w:trHeight w:val="312" w:hRule="atLeast"/>
          <w:jc w:val="center"/>
        </w:trPr>
        <w:tc>
          <w:tcPr>
            <w:tcW w:w="0" w:type="auto"/>
            <w:tcBorders>
              <w:top w:val="nil"/>
              <w:left w:val="nil"/>
              <w:bottom w:val="nil"/>
              <w:right w:val="nil"/>
            </w:tcBorders>
            <w:shd w:val="clear" w:color="auto" w:fill="auto"/>
            <w:noWrap/>
            <w:tcMar>
              <w:top w:w="12" w:type="dxa"/>
              <w:left w:w="12" w:type="dxa"/>
              <w:right w:w="12" w:type="dxa"/>
            </w:tcMar>
            <w:vAlign w:val="center"/>
          </w:tcPr>
          <w:p w14:paraId="6596715F">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2746.823</w:t>
            </w:r>
          </w:p>
        </w:tc>
        <w:tc>
          <w:tcPr>
            <w:tcW w:w="0" w:type="auto"/>
            <w:tcBorders>
              <w:top w:val="nil"/>
              <w:left w:val="nil"/>
              <w:bottom w:val="nil"/>
              <w:right w:val="nil"/>
            </w:tcBorders>
            <w:shd w:val="clear" w:color="auto" w:fill="auto"/>
            <w:noWrap/>
            <w:tcMar>
              <w:top w:w="12" w:type="dxa"/>
              <w:left w:w="12" w:type="dxa"/>
              <w:right w:w="12" w:type="dxa"/>
            </w:tcMar>
            <w:vAlign w:val="center"/>
          </w:tcPr>
          <w:p w14:paraId="325C70EF">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274.682</w:t>
            </w:r>
          </w:p>
        </w:tc>
        <w:tc>
          <w:tcPr>
            <w:tcW w:w="0" w:type="auto"/>
            <w:tcBorders>
              <w:top w:val="nil"/>
              <w:left w:val="nil"/>
              <w:bottom w:val="nil"/>
              <w:right w:val="nil"/>
            </w:tcBorders>
            <w:shd w:val="clear" w:color="auto" w:fill="auto"/>
            <w:noWrap/>
            <w:tcMar>
              <w:top w:w="12" w:type="dxa"/>
              <w:left w:w="12" w:type="dxa"/>
              <w:right w:w="12" w:type="dxa"/>
            </w:tcMar>
            <w:vAlign w:val="center"/>
          </w:tcPr>
          <w:p w14:paraId="1CB2AD45">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54.936</w:t>
            </w:r>
          </w:p>
        </w:tc>
      </w:tr>
      <w:tr w14:paraId="3B03E95C">
        <w:tblPrEx>
          <w:shd w:val="clear" w:color="auto" w:fill="auto"/>
          <w:tblCellMar>
            <w:top w:w="0" w:type="dxa"/>
            <w:left w:w="0" w:type="dxa"/>
            <w:bottom w:w="0" w:type="dxa"/>
            <w:right w:w="0" w:type="dxa"/>
          </w:tblCellMar>
        </w:tblPrEx>
        <w:trPr>
          <w:trHeight w:val="312" w:hRule="atLeast"/>
          <w:jc w:val="center"/>
        </w:trPr>
        <w:tc>
          <w:tcPr>
            <w:tcW w:w="0" w:type="auto"/>
            <w:tcBorders>
              <w:top w:val="nil"/>
              <w:left w:val="nil"/>
              <w:bottom w:val="nil"/>
              <w:right w:val="nil"/>
            </w:tcBorders>
            <w:shd w:val="clear" w:color="auto" w:fill="auto"/>
            <w:noWrap/>
            <w:tcMar>
              <w:top w:w="12" w:type="dxa"/>
              <w:left w:w="12" w:type="dxa"/>
              <w:right w:w="12" w:type="dxa"/>
            </w:tcMar>
            <w:vAlign w:val="center"/>
          </w:tcPr>
          <w:p w14:paraId="034FDFBC">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3856.305</w:t>
            </w:r>
          </w:p>
        </w:tc>
        <w:tc>
          <w:tcPr>
            <w:tcW w:w="0" w:type="auto"/>
            <w:tcBorders>
              <w:top w:val="nil"/>
              <w:left w:val="nil"/>
              <w:bottom w:val="nil"/>
              <w:right w:val="nil"/>
            </w:tcBorders>
            <w:shd w:val="clear" w:color="auto" w:fill="auto"/>
            <w:noWrap/>
            <w:tcMar>
              <w:top w:w="12" w:type="dxa"/>
              <w:left w:w="12" w:type="dxa"/>
              <w:right w:w="12" w:type="dxa"/>
            </w:tcMar>
            <w:vAlign w:val="center"/>
          </w:tcPr>
          <w:p w14:paraId="12764A9F">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385.630</w:t>
            </w:r>
          </w:p>
        </w:tc>
        <w:tc>
          <w:tcPr>
            <w:tcW w:w="0" w:type="auto"/>
            <w:tcBorders>
              <w:top w:val="nil"/>
              <w:left w:val="nil"/>
              <w:bottom w:val="nil"/>
              <w:right w:val="nil"/>
            </w:tcBorders>
            <w:shd w:val="clear" w:color="auto" w:fill="auto"/>
            <w:noWrap/>
            <w:tcMar>
              <w:top w:w="12" w:type="dxa"/>
              <w:left w:w="12" w:type="dxa"/>
              <w:right w:w="12" w:type="dxa"/>
            </w:tcMar>
            <w:vAlign w:val="center"/>
          </w:tcPr>
          <w:p w14:paraId="63B4C26D">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77.126</w:t>
            </w:r>
          </w:p>
        </w:tc>
      </w:tr>
      <w:tr w14:paraId="134D5AF4">
        <w:tblPrEx>
          <w:shd w:val="clear" w:color="auto" w:fill="auto"/>
          <w:tblCellMar>
            <w:top w:w="0" w:type="dxa"/>
            <w:left w:w="0" w:type="dxa"/>
            <w:bottom w:w="0" w:type="dxa"/>
            <w:right w:w="0" w:type="dxa"/>
          </w:tblCellMar>
        </w:tblPrEx>
        <w:trPr>
          <w:trHeight w:val="312" w:hRule="atLeast"/>
          <w:jc w:val="center"/>
        </w:trPr>
        <w:tc>
          <w:tcPr>
            <w:tcW w:w="0" w:type="auto"/>
            <w:tcBorders>
              <w:top w:val="nil"/>
              <w:left w:val="nil"/>
              <w:bottom w:val="nil"/>
              <w:right w:val="nil"/>
            </w:tcBorders>
            <w:shd w:val="clear" w:color="auto" w:fill="auto"/>
            <w:noWrap/>
            <w:tcMar>
              <w:top w:w="12" w:type="dxa"/>
              <w:left w:w="12" w:type="dxa"/>
              <w:right w:w="12" w:type="dxa"/>
            </w:tcMar>
            <w:vAlign w:val="center"/>
          </w:tcPr>
          <w:p w14:paraId="3CA217A1">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2438.905</w:t>
            </w:r>
          </w:p>
        </w:tc>
        <w:tc>
          <w:tcPr>
            <w:tcW w:w="0" w:type="auto"/>
            <w:tcBorders>
              <w:top w:val="nil"/>
              <w:left w:val="nil"/>
              <w:bottom w:val="nil"/>
              <w:right w:val="nil"/>
            </w:tcBorders>
            <w:shd w:val="clear" w:color="auto" w:fill="auto"/>
            <w:noWrap/>
            <w:tcMar>
              <w:top w:w="12" w:type="dxa"/>
              <w:left w:w="12" w:type="dxa"/>
              <w:right w:w="12" w:type="dxa"/>
            </w:tcMar>
            <w:vAlign w:val="center"/>
          </w:tcPr>
          <w:p w14:paraId="7838C233">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243.891</w:t>
            </w:r>
          </w:p>
        </w:tc>
        <w:tc>
          <w:tcPr>
            <w:tcW w:w="0" w:type="auto"/>
            <w:tcBorders>
              <w:top w:val="nil"/>
              <w:left w:val="nil"/>
              <w:bottom w:val="nil"/>
              <w:right w:val="nil"/>
            </w:tcBorders>
            <w:shd w:val="clear" w:color="auto" w:fill="auto"/>
            <w:noWrap/>
            <w:tcMar>
              <w:top w:w="12" w:type="dxa"/>
              <w:left w:w="12" w:type="dxa"/>
              <w:right w:w="12" w:type="dxa"/>
            </w:tcMar>
            <w:vAlign w:val="center"/>
          </w:tcPr>
          <w:p w14:paraId="19A06C5B">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48.778</w:t>
            </w:r>
          </w:p>
        </w:tc>
      </w:tr>
      <w:tr w14:paraId="2DA80513">
        <w:tblPrEx>
          <w:shd w:val="clear" w:color="auto" w:fill="auto"/>
          <w:tblCellMar>
            <w:top w:w="0" w:type="dxa"/>
            <w:left w:w="0" w:type="dxa"/>
            <w:bottom w:w="0" w:type="dxa"/>
            <w:right w:w="0" w:type="dxa"/>
          </w:tblCellMar>
        </w:tblPrEx>
        <w:trPr>
          <w:trHeight w:val="312" w:hRule="atLeast"/>
          <w:jc w:val="center"/>
        </w:trPr>
        <w:tc>
          <w:tcPr>
            <w:tcW w:w="0" w:type="auto"/>
            <w:tcBorders>
              <w:top w:val="nil"/>
              <w:left w:val="nil"/>
              <w:bottom w:val="nil"/>
              <w:right w:val="nil"/>
            </w:tcBorders>
            <w:shd w:val="clear" w:color="auto" w:fill="auto"/>
            <w:noWrap/>
            <w:tcMar>
              <w:top w:w="12" w:type="dxa"/>
              <w:left w:w="12" w:type="dxa"/>
              <w:right w:w="12" w:type="dxa"/>
            </w:tcMar>
            <w:vAlign w:val="center"/>
          </w:tcPr>
          <w:p w14:paraId="6E9D0296">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2238.514</w:t>
            </w:r>
          </w:p>
        </w:tc>
        <w:tc>
          <w:tcPr>
            <w:tcW w:w="0" w:type="auto"/>
            <w:tcBorders>
              <w:top w:val="nil"/>
              <w:left w:val="nil"/>
              <w:bottom w:val="nil"/>
              <w:right w:val="nil"/>
            </w:tcBorders>
            <w:shd w:val="clear" w:color="auto" w:fill="auto"/>
            <w:noWrap/>
            <w:tcMar>
              <w:top w:w="12" w:type="dxa"/>
              <w:left w:w="12" w:type="dxa"/>
              <w:right w:w="12" w:type="dxa"/>
            </w:tcMar>
            <w:vAlign w:val="center"/>
          </w:tcPr>
          <w:p w14:paraId="1CC14958">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223.851</w:t>
            </w:r>
          </w:p>
        </w:tc>
        <w:tc>
          <w:tcPr>
            <w:tcW w:w="0" w:type="auto"/>
            <w:tcBorders>
              <w:top w:val="nil"/>
              <w:left w:val="nil"/>
              <w:bottom w:val="nil"/>
              <w:right w:val="nil"/>
            </w:tcBorders>
            <w:shd w:val="clear" w:color="auto" w:fill="auto"/>
            <w:noWrap/>
            <w:tcMar>
              <w:top w:w="12" w:type="dxa"/>
              <w:left w:w="12" w:type="dxa"/>
              <w:right w:w="12" w:type="dxa"/>
            </w:tcMar>
            <w:vAlign w:val="center"/>
          </w:tcPr>
          <w:p w14:paraId="2B4CFA3F">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44.770</w:t>
            </w:r>
          </w:p>
        </w:tc>
      </w:tr>
      <w:tr w14:paraId="7677FE31">
        <w:tblPrEx>
          <w:shd w:val="clear" w:color="auto" w:fill="auto"/>
          <w:tblCellMar>
            <w:top w:w="0" w:type="dxa"/>
            <w:left w:w="0" w:type="dxa"/>
            <w:bottom w:w="0" w:type="dxa"/>
            <w:right w:w="0" w:type="dxa"/>
          </w:tblCellMar>
        </w:tblPrEx>
        <w:trPr>
          <w:trHeight w:val="312" w:hRule="atLeast"/>
          <w:jc w:val="center"/>
        </w:trPr>
        <w:tc>
          <w:tcPr>
            <w:tcW w:w="0" w:type="auto"/>
            <w:tcBorders>
              <w:top w:val="nil"/>
              <w:left w:val="nil"/>
              <w:bottom w:val="nil"/>
              <w:right w:val="nil"/>
            </w:tcBorders>
            <w:shd w:val="clear" w:color="auto" w:fill="auto"/>
            <w:noWrap/>
            <w:tcMar>
              <w:top w:w="12" w:type="dxa"/>
              <w:left w:w="12" w:type="dxa"/>
              <w:right w:w="12" w:type="dxa"/>
            </w:tcMar>
            <w:vAlign w:val="center"/>
          </w:tcPr>
          <w:p w14:paraId="5747AB28">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2825.024</w:t>
            </w:r>
          </w:p>
        </w:tc>
        <w:tc>
          <w:tcPr>
            <w:tcW w:w="0" w:type="auto"/>
            <w:tcBorders>
              <w:top w:val="nil"/>
              <w:left w:val="nil"/>
              <w:bottom w:val="nil"/>
              <w:right w:val="nil"/>
            </w:tcBorders>
            <w:shd w:val="clear" w:color="auto" w:fill="auto"/>
            <w:noWrap/>
            <w:tcMar>
              <w:top w:w="12" w:type="dxa"/>
              <w:left w:w="12" w:type="dxa"/>
              <w:right w:w="12" w:type="dxa"/>
            </w:tcMar>
            <w:vAlign w:val="center"/>
          </w:tcPr>
          <w:p w14:paraId="56F13919">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282.502</w:t>
            </w:r>
          </w:p>
        </w:tc>
        <w:tc>
          <w:tcPr>
            <w:tcW w:w="0" w:type="auto"/>
            <w:tcBorders>
              <w:top w:val="nil"/>
              <w:left w:val="nil"/>
              <w:bottom w:val="nil"/>
              <w:right w:val="nil"/>
            </w:tcBorders>
            <w:shd w:val="clear" w:color="auto" w:fill="auto"/>
            <w:noWrap/>
            <w:tcMar>
              <w:top w:w="12" w:type="dxa"/>
              <w:left w:w="12" w:type="dxa"/>
              <w:right w:w="12" w:type="dxa"/>
            </w:tcMar>
            <w:vAlign w:val="center"/>
          </w:tcPr>
          <w:p w14:paraId="32917DE7">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56.500</w:t>
            </w:r>
          </w:p>
        </w:tc>
      </w:tr>
      <w:tr w14:paraId="7E9CA8A2">
        <w:tblPrEx>
          <w:shd w:val="clear" w:color="auto" w:fill="auto"/>
          <w:tblCellMar>
            <w:top w:w="0" w:type="dxa"/>
            <w:left w:w="0" w:type="dxa"/>
            <w:bottom w:w="0" w:type="dxa"/>
            <w:right w:w="0" w:type="dxa"/>
          </w:tblCellMar>
        </w:tblPrEx>
        <w:trPr>
          <w:trHeight w:val="312" w:hRule="atLeast"/>
          <w:jc w:val="center"/>
        </w:trPr>
        <w:tc>
          <w:tcPr>
            <w:tcW w:w="0" w:type="auto"/>
            <w:tcBorders>
              <w:top w:val="nil"/>
              <w:left w:val="nil"/>
              <w:bottom w:val="nil"/>
              <w:right w:val="nil"/>
            </w:tcBorders>
            <w:shd w:val="clear" w:color="auto" w:fill="auto"/>
            <w:noWrap/>
            <w:tcMar>
              <w:top w:w="12" w:type="dxa"/>
              <w:left w:w="12" w:type="dxa"/>
              <w:right w:w="12" w:type="dxa"/>
            </w:tcMar>
            <w:vAlign w:val="center"/>
          </w:tcPr>
          <w:p w14:paraId="4AF6BA1C">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3035.191</w:t>
            </w:r>
          </w:p>
        </w:tc>
        <w:tc>
          <w:tcPr>
            <w:tcW w:w="0" w:type="auto"/>
            <w:tcBorders>
              <w:top w:val="nil"/>
              <w:left w:val="nil"/>
              <w:bottom w:val="nil"/>
              <w:right w:val="nil"/>
            </w:tcBorders>
            <w:shd w:val="clear" w:color="auto" w:fill="auto"/>
            <w:noWrap/>
            <w:tcMar>
              <w:top w:w="12" w:type="dxa"/>
              <w:left w:w="12" w:type="dxa"/>
              <w:right w:w="12" w:type="dxa"/>
            </w:tcMar>
            <w:vAlign w:val="center"/>
          </w:tcPr>
          <w:p w14:paraId="5C081D36">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303.519</w:t>
            </w:r>
          </w:p>
        </w:tc>
        <w:tc>
          <w:tcPr>
            <w:tcW w:w="0" w:type="auto"/>
            <w:tcBorders>
              <w:top w:val="nil"/>
              <w:left w:val="nil"/>
              <w:bottom w:val="nil"/>
              <w:right w:val="nil"/>
            </w:tcBorders>
            <w:shd w:val="clear" w:color="auto" w:fill="auto"/>
            <w:noWrap/>
            <w:tcMar>
              <w:top w:w="12" w:type="dxa"/>
              <w:left w:w="12" w:type="dxa"/>
              <w:right w:w="12" w:type="dxa"/>
            </w:tcMar>
            <w:vAlign w:val="center"/>
          </w:tcPr>
          <w:p w14:paraId="626CF0A8">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60.704</w:t>
            </w:r>
          </w:p>
        </w:tc>
      </w:tr>
    </w:tbl>
    <w:p w14:paraId="61CC9CD3">
      <w:pPr>
        <w:numPr>
          <w:ilvl w:val="0"/>
          <w:numId w:val="2"/>
        </w:numPr>
        <w:ind w:left="0" w:leftChars="0" w:firstLine="0" w:firstLineChars="0"/>
        <w:jc w:val="left"/>
        <w:rPr>
          <w:rFonts w:hint="eastAsia" w:ascii="仿宋" w:hAnsi="仿宋" w:eastAsia="仿宋" w:cs="仿宋"/>
          <w:b/>
          <w:bCs/>
          <w:i w:val="0"/>
          <w:caps w:val="0"/>
          <w:color w:val="333333"/>
          <w:spacing w:val="0"/>
          <w:sz w:val="24"/>
          <w:szCs w:val="24"/>
          <w:shd w:val="clear" w:fill="FFFFFF"/>
          <w:lang w:val="en-US" w:eastAsia="zh-CN"/>
        </w:rPr>
      </w:pPr>
      <w:r>
        <w:rPr>
          <w:rFonts w:hint="eastAsia" w:ascii="仿宋" w:hAnsi="仿宋" w:eastAsia="仿宋" w:cs="仿宋"/>
          <w:b/>
          <w:bCs/>
          <w:i w:val="0"/>
          <w:caps w:val="0"/>
          <w:color w:val="333333"/>
          <w:spacing w:val="0"/>
          <w:sz w:val="24"/>
          <w:szCs w:val="24"/>
          <w:shd w:val="clear" w:fill="FFFFFF"/>
          <w:lang w:val="en-US" w:eastAsia="zh-CN"/>
        </w:rPr>
        <w:t>总结</w:t>
      </w:r>
    </w:p>
    <w:p w14:paraId="19AF7FFA">
      <w:pPr>
        <w:numPr>
          <w:ilvl w:val="0"/>
          <w:numId w:val="0"/>
        </w:numPr>
        <w:ind w:leftChars="0" w:firstLine="480" w:firstLineChars="200"/>
        <w:jc w:val="left"/>
        <w:rPr>
          <w:rFonts w:hint="eastAsia" w:ascii="仿宋" w:hAnsi="仿宋" w:eastAsia="仿宋" w:cs="仿宋"/>
          <w:i w:val="0"/>
          <w:caps w:val="0"/>
          <w:color w:val="333333"/>
          <w:spacing w:val="0"/>
          <w:sz w:val="24"/>
          <w:szCs w:val="24"/>
          <w:shd w:val="clear" w:fill="FFFFFF"/>
          <w:lang w:val="en-US" w:eastAsia="zh-CN"/>
        </w:rPr>
      </w:pPr>
      <w:r>
        <w:rPr>
          <w:rFonts w:hint="eastAsia" w:ascii="仿宋" w:hAnsi="仿宋" w:eastAsia="仿宋" w:cs="仿宋"/>
          <w:i w:val="0"/>
          <w:caps w:val="0"/>
          <w:color w:val="333333"/>
          <w:spacing w:val="0"/>
          <w:sz w:val="24"/>
          <w:szCs w:val="24"/>
          <w:shd w:val="clear" w:fill="FFFFFF"/>
          <w:lang w:val="en-US" w:eastAsia="zh-CN"/>
        </w:rPr>
        <w:t>该产品在完成制作后可以大致测试出人体的体重指标并提示使用者是否体重超标。其中电压与所受到的压力的关系较为难得出，通过多次实际测量并与传感器数据表进行对比，最终得出传感器所测得的压力与电压的关系并进一步得出人体的实际体重并与人体身高相结合得出人体体重指数，最终达到督促使用者减肥的效果。</w:t>
      </w:r>
    </w:p>
    <w:p w14:paraId="0A360FCA">
      <w:pPr>
        <w:numPr>
          <w:ilvl w:val="0"/>
          <w:numId w:val="0"/>
        </w:numPr>
        <w:ind w:leftChars="0" w:firstLine="480" w:firstLineChars="200"/>
        <w:jc w:val="left"/>
        <w:rPr>
          <w:rFonts w:hint="eastAsia" w:ascii="仿宋" w:hAnsi="仿宋" w:eastAsia="仿宋" w:cs="仿宋"/>
          <w:i w:val="0"/>
          <w:caps w:val="0"/>
          <w:color w:val="333333"/>
          <w:spacing w:val="0"/>
          <w:sz w:val="24"/>
          <w:szCs w:val="24"/>
          <w:shd w:val="clear" w:fill="FFFFFF"/>
          <w:lang w:val="en-US" w:eastAsia="zh-CN"/>
        </w:rPr>
      </w:pPr>
    </w:p>
    <w:p w14:paraId="78B5A51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eastAsia" w:ascii="仿宋" w:hAnsi="仿宋" w:eastAsia="仿宋" w:cs="仿宋"/>
          <w:i w:val="0"/>
          <w:caps w:val="0"/>
          <w:color w:val="333333"/>
          <w:spacing w:val="0"/>
          <w:sz w:val="24"/>
          <w:szCs w:val="24"/>
          <w:shd w:val="clear" w:fill="FFFFFF"/>
          <w:lang w:val="en-US" w:eastAsia="zh-CN"/>
        </w:rPr>
      </w:pPr>
      <w:r>
        <w:rPr>
          <w:rFonts w:hint="eastAsia" w:ascii="仿宋" w:hAnsi="仿宋" w:eastAsia="仿宋" w:cs="仿宋"/>
          <w:i w:val="0"/>
          <w:caps w:val="0"/>
          <w:color w:val="333333"/>
          <w:spacing w:val="0"/>
          <w:sz w:val="24"/>
          <w:szCs w:val="24"/>
          <w:shd w:val="clear" w:fill="FFFFFF"/>
          <w:lang w:val="en-US" w:eastAsia="zh-CN"/>
        </w:rPr>
        <w:t>参考：</w:t>
      </w:r>
    </w:p>
    <w:p w14:paraId="04BB746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eastAsia" w:ascii="Tahoma" w:hAnsi="Tahoma" w:eastAsia="Tahoma" w:cs="Tahoma"/>
          <w:b/>
          <w:i w:val="0"/>
          <w:caps w:val="0"/>
          <w:color w:val="3C3C3C"/>
          <w:spacing w:val="0"/>
          <w:sz w:val="24"/>
          <w:szCs w:val="24"/>
        </w:rPr>
      </w:pPr>
      <w:r>
        <w:rPr>
          <w:rFonts w:hint="default" w:ascii="Tahoma" w:hAnsi="Tahoma" w:eastAsia="Tahoma" w:cs="Tahoma"/>
          <w:b/>
          <w:i w:val="0"/>
          <w:caps w:val="0"/>
          <w:color w:val="3C3C3C"/>
          <w:spacing w:val="0"/>
          <w:sz w:val="24"/>
          <w:szCs w:val="24"/>
          <w:shd w:val="clear" w:fill="FFFFFF"/>
        </w:rPr>
        <w:t>2-5kg10 20KG薄膜压力传感器 电阻电压转换放大模块 柔性压敏检测</w:t>
      </w:r>
    </w:p>
    <w:p w14:paraId="7376FB06">
      <w:pPr>
        <w:numPr>
          <w:ilvl w:val="0"/>
          <w:numId w:val="0"/>
        </w:numPr>
        <w:jc w:val="left"/>
        <w:rPr>
          <w:rFonts w:hint="eastAsia" w:ascii="仿宋" w:hAnsi="仿宋" w:eastAsia="仿宋" w:cs="仿宋"/>
          <w:i w:val="0"/>
          <w:caps w:val="0"/>
          <w:color w:val="333333"/>
          <w:spacing w:val="0"/>
          <w:sz w:val="24"/>
          <w:szCs w:val="24"/>
          <w:shd w:val="clear" w:fill="FFFFFF"/>
          <w:lang w:val="en-US" w:eastAsia="zh-CN"/>
        </w:rPr>
      </w:pPr>
      <w:r>
        <w:rPr>
          <w:rFonts w:hint="eastAsia" w:ascii="仿宋" w:hAnsi="仿宋" w:eastAsia="仿宋" w:cs="仿宋"/>
          <w:i w:val="0"/>
          <w:caps w:val="0"/>
          <w:color w:val="333333"/>
          <w:spacing w:val="0"/>
          <w:sz w:val="24"/>
          <w:szCs w:val="24"/>
          <w:shd w:val="clear" w:fill="FFFFFF"/>
          <w:lang w:val="en-US" w:eastAsia="zh-CN"/>
        </w:rPr>
        <w:fldChar w:fldCharType="begin"/>
      </w:r>
      <w:r>
        <w:rPr>
          <w:rFonts w:hint="eastAsia" w:ascii="仿宋" w:hAnsi="仿宋" w:eastAsia="仿宋" w:cs="仿宋"/>
          <w:i w:val="0"/>
          <w:caps w:val="0"/>
          <w:color w:val="333333"/>
          <w:spacing w:val="0"/>
          <w:sz w:val="24"/>
          <w:szCs w:val="24"/>
          <w:shd w:val="clear" w:fill="FFFFFF"/>
          <w:lang w:val="en-US" w:eastAsia="zh-CN"/>
        </w:rPr>
        <w:instrText xml:space="preserve"> HYPERLINK "https://item.taobao.com/item.htm?spm=a1z0k.7386009.0.d4919233.5d405418AFhPO8&amp;id=571614363816&amp;_u=t2dmg8j26111" </w:instrText>
      </w:r>
      <w:r>
        <w:rPr>
          <w:rFonts w:hint="eastAsia" w:ascii="仿宋" w:hAnsi="仿宋" w:eastAsia="仿宋" w:cs="仿宋"/>
          <w:i w:val="0"/>
          <w:caps w:val="0"/>
          <w:color w:val="333333"/>
          <w:spacing w:val="0"/>
          <w:sz w:val="24"/>
          <w:szCs w:val="24"/>
          <w:shd w:val="clear" w:fill="FFFFFF"/>
          <w:lang w:val="en-US" w:eastAsia="zh-CN"/>
        </w:rPr>
        <w:fldChar w:fldCharType="separate"/>
      </w:r>
      <w:r>
        <w:rPr>
          <w:rStyle w:val="8"/>
          <w:rFonts w:hint="eastAsia" w:ascii="仿宋" w:hAnsi="仿宋" w:eastAsia="仿宋" w:cs="仿宋"/>
          <w:i w:val="0"/>
          <w:caps w:val="0"/>
          <w:color w:val="333333"/>
          <w:spacing w:val="0"/>
          <w:sz w:val="24"/>
          <w:szCs w:val="24"/>
          <w:shd w:val="clear" w:fill="FFFFFF"/>
          <w:lang w:val="en-US" w:eastAsia="zh-CN"/>
        </w:rPr>
        <w:t>https://item.taobao.com/item.htm?spm=a1z0k.7386009.0.d4919233.5d405418AFhPO8&amp;id=571614363816&amp;_u=t2dmg8j26111</w:t>
      </w:r>
      <w:r>
        <w:rPr>
          <w:rFonts w:hint="eastAsia" w:ascii="仿宋" w:hAnsi="仿宋" w:eastAsia="仿宋" w:cs="仿宋"/>
          <w:i w:val="0"/>
          <w:caps w:val="0"/>
          <w:color w:val="333333"/>
          <w:spacing w:val="0"/>
          <w:sz w:val="24"/>
          <w:szCs w:val="24"/>
          <w:shd w:val="clear" w:fill="FFFFFF"/>
          <w:lang w:val="en-US" w:eastAsia="zh-CN"/>
        </w:rPr>
        <w:fldChar w:fldCharType="end"/>
      </w:r>
    </w:p>
    <w:p w14:paraId="4F081C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rPr>
          <w:rFonts w:hint="eastAsia" w:ascii="微软雅黑" w:hAnsi="微软雅黑" w:eastAsia="微软雅黑" w:cs="微软雅黑"/>
          <w:b/>
          <w:i w:val="0"/>
          <w:caps w:val="0"/>
          <w:color w:val="000000"/>
          <w:spacing w:val="0"/>
          <w:sz w:val="24"/>
          <w:szCs w:val="24"/>
          <w:shd w:val="clear" w:fill="FFFFFF"/>
        </w:rPr>
      </w:pPr>
      <w:r>
        <w:rPr>
          <w:rFonts w:hint="eastAsia" w:ascii="微软雅黑" w:hAnsi="微软雅黑" w:eastAsia="微软雅黑" w:cs="微软雅黑"/>
          <w:b/>
          <w:i w:val="0"/>
          <w:caps w:val="0"/>
          <w:color w:val="000000"/>
          <w:spacing w:val="0"/>
          <w:sz w:val="24"/>
          <w:szCs w:val="24"/>
          <w:shd w:val="clear" w:fill="FFFFFF"/>
        </w:rPr>
        <w:t>0.96寸OLED显示屏模块0.91 1.3寸液晶屏供原理图12864屏 IIC/SPI</w:t>
      </w:r>
    </w:p>
    <w:p w14:paraId="44A7E52F">
      <w:pPr>
        <w:rPr>
          <w:rFonts w:hint="eastAsia"/>
        </w:rPr>
      </w:pPr>
      <w:r>
        <w:rPr>
          <w:rFonts w:hint="eastAsia"/>
        </w:rPr>
        <w:fldChar w:fldCharType="begin"/>
      </w:r>
      <w:r>
        <w:rPr>
          <w:rFonts w:hint="eastAsia"/>
        </w:rPr>
        <w:instrText xml:space="preserve"> HYPERLINK "https://detail.tmall.com/item.htm?id=558395483864&amp;spm=a1z09.2.0.0.6b302e8dRqIBPN&amp;_u=9ognj50770" </w:instrText>
      </w:r>
      <w:r>
        <w:rPr>
          <w:rFonts w:hint="eastAsia"/>
        </w:rPr>
        <w:fldChar w:fldCharType="separate"/>
      </w:r>
      <w:r>
        <w:rPr>
          <w:rStyle w:val="8"/>
          <w:rFonts w:hint="eastAsia"/>
        </w:rPr>
        <w:t>https://detail.tmall.com/item.htm?id=558395483864&amp;spm=a1z09.2.0.0.6b302e8dRqIBPN&amp;_u=9ognj50770</w:t>
      </w:r>
      <w:r>
        <w:rPr>
          <w:rFonts w:hint="eastAsia"/>
        </w:rPr>
        <w:fldChar w:fldCharType="end"/>
      </w:r>
    </w:p>
    <w:p w14:paraId="1E0D8B56">
      <w:pPr>
        <w:rPr>
          <w:rFonts w:hint="eastAsia"/>
        </w:rPr>
      </w:pPr>
    </w:p>
    <w:p w14:paraId="5B9B8F79">
      <w:pPr>
        <w:numPr>
          <w:ilvl w:val="0"/>
          <w:numId w:val="0"/>
        </w:numPr>
        <w:jc w:val="left"/>
        <w:rPr>
          <w:rFonts w:hint="default" w:ascii="仿宋" w:hAnsi="仿宋" w:eastAsia="仿宋" w:cs="仿宋"/>
          <w:i w:val="0"/>
          <w:caps w:val="0"/>
          <w:color w:val="333333"/>
          <w:spacing w:val="0"/>
          <w:sz w:val="24"/>
          <w:szCs w:val="24"/>
          <w:shd w:val="clear" w:fill="FFFFFF"/>
          <w:lang w:val="en-US" w:eastAsia="zh-CN"/>
        </w:rPr>
      </w:pPr>
    </w:p>
    <w:sectPr>
      <w:footerReference r:id="rId3" w:type="default"/>
      <w:pgSz w:w="11907" w:h="16839"/>
      <w:pgMar w:top="1440" w:right="1800" w:bottom="1440" w:left="1800" w:header="284" w:footer="567"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E18BD">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3A7B64">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53A7B64">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D2B16B"/>
    <w:multiLevelType w:val="singleLevel"/>
    <w:tmpl w:val="12D2B16B"/>
    <w:lvl w:ilvl="0" w:tentative="0">
      <w:start w:val="2"/>
      <w:numFmt w:val="decimal"/>
      <w:lvlText w:val="%1."/>
      <w:lvlJc w:val="left"/>
      <w:pPr>
        <w:tabs>
          <w:tab w:val="left" w:pos="312"/>
        </w:tabs>
      </w:pPr>
    </w:lvl>
  </w:abstractNum>
  <w:abstractNum w:abstractNumId="1">
    <w:nsid w:val="19533A20"/>
    <w:multiLevelType w:val="singleLevel"/>
    <w:tmpl w:val="19533A20"/>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gutterAtTop/>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8718D6"/>
    <w:rsid w:val="028B6454"/>
    <w:rsid w:val="0BB92476"/>
    <w:rsid w:val="131947D0"/>
    <w:rsid w:val="132269EC"/>
    <w:rsid w:val="14E22A40"/>
    <w:rsid w:val="168B568F"/>
    <w:rsid w:val="18CF4F71"/>
    <w:rsid w:val="1B331454"/>
    <w:rsid w:val="1FC337E1"/>
    <w:rsid w:val="27E67F19"/>
    <w:rsid w:val="2F260D3D"/>
    <w:rsid w:val="3043538C"/>
    <w:rsid w:val="4BFA5D3E"/>
    <w:rsid w:val="4BFF2166"/>
    <w:rsid w:val="51BB5982"/>
    <w:rsid w:val="568266C6"/>
    <w:rsid w:val="59260C81"/>
    <w:rsid w:val="5E4938FC"/>
    <w:rsid w:val="6BA94068"/>
    <w:rsid w:val="6F0A186F"/>
    <w:rsid w:val="73D01618"/>
    <w:rsid w:val="7757222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Hyperlink"/>
    <w:basedOn w:val="7"/>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1971</Words>
  <Characters>2627</Characters>
  <Lines>0</Lines>
  <Paragraphs>0</Paragraphs>
  <TotalTime>11</TotalTime>
  <ScaleCrop>false</ScaleCrop>
  <LinksUpToDate>false</LinksUpToDate>
  <CharactersWithSpaces>2744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student</dc:creator>
  <cp:lastModifiedBy>老邬</cp:lastModifiedBy>
  <dcterms:modified xsi:type="dcterms:W3CDTF">2025-06-24T06:23:05Z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E7C770688A774C84BA64D455AB1C8631_13</vt:lpwstr>
  </property>
</Properties>
</file>